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021F" w14:textId="7E3F91A9" w:rsidR="008D0528" w:rsidRPr="00956BA2" w:rsidRDefault="00A0532A" w:rsidP="00A0532A">
      <w:pPr>
        <w:shd w:val="clear" w:color="auto" w:fill="FFFFFF"/>
        <w:spacing w:before="120" w:after="120" w:line="360" w:lineRule="auto"/>
        <w:jc w:val="center"/>
        <w:rPr>
          <w:rFonts w:eastAsia="Times New Roman" w:cstheme="minorHAnsi"/>
          <w:b/>
          <w:bCs/>
          <w:color w:val="000000"/>
          <w:lang w:eastAsia="en-GB"/>
        </w:rPr>
      </w:pPr>
      <w:r w:rsidRPr="00956BA2">
        <w:rPr>
          <w:rFonts w:cstheme="minorHAnsi"/>
          <w:b/>
          <w:bCs/>
        </w:rPr>
        <w:t xml:space="preserve">Written submission </w:t>
      </w:r>
      <w:r w:rsidR="00E40FB0" w:rsidRPr="00956BA2">
        <w:rPr>
          <w:rFonts w:cstheme="minorHAnsi"/>
          <w:b/>
          <w:bCs/>
        </w:rPr>
        <w:t xml:space="preserve">for the preparation of the </w:t>
      </w:r>
      <w:r w:rsidR="00A476C8">
        <w:rPr>
          <w:rFonts w:cstheme="minorHAnsi"/>
          <w:b/>
          <w:bCs/>
        </w:rPr>
        <w:t>R</w:t>
      </w:r>
      <w:r w:rsidR="00E40FB0" w:rsidRPr="00956BA2">
        <w:rPr>
          <w:rFonts w:cstheme="minorHAnsi"/>
          <w:b/>
          <w:bCs/>
        </w:rPr>
        <w:t>eport of the U</w:t>
      </w:r>
      <w:r w:rsidR="006155D8" w:rsidRPr="00956BA2">
        <w:rPr>
          <w:rFonts w:cstheme="minorHAnsi"/>
          <w:b/>
          <w:bCs/>
        </w:rPr>
        <w:t>N OHCHR</w:t>
      </w:r>
      <w:r w:rsidR="00E40FB0" w:rsidRPr="00956BA2">
        <w:rPr>
          <w:rFonts w:cstheme="minorHAnsi"/>
          <w:b/>
          <w:bCs/>
        </w:rPr>
        <w:t xml:space="preserve"> pursuant to H</w:t>
      </w:r>
      <w:r w:rsidR="004611E9" w:rsidRPr="00956BA2">
        <w:rPr>
          <w:rFonts w:cstheme="minorHAnsi"/>
          <w:b/>
          <w:bCs/>
        </w:rPr>
        <w:t>RC</w:t>
      </w:r>
      <w:r w:rsidR="00E40FB0" w:rsidRPr="00956BA2">
        <w:rPr>
          <w:rFonts w:cstheme="minorHAnsi"/>
          <w:b/>
          <w:bCs/>
        </w:rPr>
        <w:t xml:space="preserve"> </w:t>
      </w:r>
      <w:r w:rsidR="004611E9" w:rsidRPr="00956BA2">
        <w:rPr>
          <w:rFonts w:cstheme="minorHAnsi"/>
          <w:b/>
          <w:bCs/>
        </w:rPr>
        <w:t>R</w:t>
      </w:r>
      <w:r w:rsidR="00E40FB0" w:rsidRPr="00956BA2">
        <w:rPr>
          <w:rFonts w:cstheme="minorHAnsi"/>
          <w:b/>
          <w:bCs/>
        </w:rPr>
        <w:t>esolution 43/1 on the “Promotion and protection of the human rights and fundamental freedoms of Africans and of people of African descent against excessive use of force and other human rights violations by law enforcement officers”</w:t>
      </w:r>
    </w:p>
    <w:p w14:paraId="79FDFC4D" w14:textId="5428D0D7" w:rsidR="003024B3" w:rsidRPr="00956BA2" w:rsidRDefault="009933D1" w:rsidP="009933D1">
      <w:pPr>
        <w:pStyle w:val="ListParagraph"/>
        <w:numPr>
          <w:ilvl w:val="0"/>
          <w:numId w:val="3"/>
        </w:numPr>
        <w:shd w:val="clear" w:color="auto" w:fill="FFFFFF"/>
        <w:spacing w:before="120" w:after="120" w:line="360" w:lineRule="auto"/>
        <w:jc w:val="both"/>
        <w:rPr>
          <w:rFonts w:eastAsia="Times New Roman" w:cstheme="minorHAnsi"/>
          <w:b/>
          <w:bCs/>
          <w:color w:val="000000"/>
          <w:lang w:eastAsia="en-GB"/>
        </w:rPr>
      </w:pPr>
      <w:r w:rsidRPr="00956BA2">
        <w:rPr>
          <w:rFonts w:eastAsia="Times New Roman" w:cstheme="minorHAnsi"/>
          <w:b/>
          <w:bCs/>
          <w:color w:val="000000"/>
          <w:lang w:eastAsia="en-GB"/>
        </w:rPr>
        <w:t>Background</w:t>
      </w:r>
    </w:p>
    <w:p w14:paraId="0CAA2680" w14:textId="01251D62" w:rsidR="009C187C" w:rsidRPr="00956BA2" w:rsidRDefault="009C187C" w:rsidP="008D0528">
      <w:pPr>
        <w:spacing w:before="240" w:after="240" w:line="360" w:lineRule="auto"/>
        <w:jc w:val="both"/>
        <w:rPr>
          <w:rFonts w:eastAsia="Times New Roman" w:cstheme="minorHAnsi"/>
          <w:lang w:eastAsia="en-GB"/>
        </w:rPr>
      </w:pPr>
      <w:r w:rsidRPr="00956BA2">
        <w:rPr>
          <w:rFonts w:eastAsia="Times New Roman" w:cstheme="minorHAnsi"/>
          <w:color w:val="000000"/>
          <w:lang w:eastAsia="en-GB"/>
        </w:rPr>
        <w:t xml:space="preserve"> “</w:t>
      </w:r>
      <w:r w:rsidR="00B37F4A" w:rsidRPr="00956BA2">
        <w:rPr>
          <w:rFonts w:eastAsia="Times New Roman" w:cstheme="minorHAnsi"/>
          <w:i/>
          <w:iCs/>
          <w:color w:val="000000"/>
          <w:lang w:eastAsia="en-GB"/>
        </w:rPr>
        <w:t>S</w:t>
      </w:r>
      <w:r w:rsidRPr="00956BA2">
        <w:rPr>
          <w:rFonts w:eastAsia="Times New Roman" w:cstheme="minorHAnsi"/>
          <w:i/>
          <w:iCs/>
          <w:color w:val="000000"/>
          <w:lang w:eastAsia="en-GB"/>
        </w:rPr>
        <w:t>chool to prison pipelines</w:t>
      </w:r>
      <w:r w:rsidRPr="00956BA2">
        <w:rPr>
          <w:rFonts w:eastAsia="Times New Roman" w:cstheme="minorHAnsi"/>
          <w:color w:val="000000"/>
          <w:lang w:eastAsia="en-GB"/>
        </w:rPr>
        <w:t xml:space="preserve">” perpetuate racist White supremacist intergenerational </w:t>
      </w:r>
      <w:r w:rsidR="0007724C" w:rsidRPr="00956BA2">
        <w:rPr>
          <w:rFonts w:eastAsia="Times New Roman" w:cstheme="minorHAnsi"/>
          <w:color w:val="000000"/>
          <w:lang w:eastAsia="en-GB"/>
        </w:rPr>
        <w:t xml:space="preserve">criminalization and </w:t>
      </w:r>
      <w:r w:rsidRPr="00956BA2">
        <w:rPr>
          <w:rFonts w:eastAsia="Times New Roman" w:cstheme="minorHAnsi"/>
          <w:color w:val="000000"/>
          <w:lang w:eastAsia="en-GB"/>
        </w:rPr>
        <w:t xml:space="preserve">exclusion of </w:t>
      </w:r>
      <w:proofErr w:type="spellStart"/>
      <w:r w:rsidRPr="00956BA2">
        <w:rPr>
          <w:rFonts w:eastAsia="Times New Roman" w:cstheme="minorHAnsi"/>
          <w:color w:val="000000"/>
          <w:lang w:eastAsia="en-GB"/>
        </w:rPr>
        <w:t>Afrikan</w:t>
      </w:r>
      <w:r w:rsidR="0007724C" w:rsidRPr="00956BA2">
        <w:rPr>
          <w:rFonts w:eastAsia="Times New Roman" w:cstheme="minorHAnsi"/>
          <w:color w:val="000000"/>
          <w:lang w:eastAsia="en-GB"/>
        </w:rPr>
        <w:t>s</w:t>
      </w:r>
      <w:proofErr w:type="spellEnd"/>
      <w:r w:rsidRPr="00956BA2">
        <w:rPr>
          <w:rFonts w:eastAsia="Times New Roman" w:cstheme="minorHAnsi"/>
          <w:color w:val="000000"/>
          <w:lang w:eastAsia="en-GB"/>
        </w:rPr>
        <w:t xml:space="preserve"> (</w:t>
      </w:r>
      <w:r w:rsidR="00887231" w:rsidRPr="00956BA2">
        <w:rPr>
          <w:rFonts w:eastAsia="Times New Roman" w:cstheme="minorHAnsi"/>
          <w:color w:val="000000"/>
          <w:lang w:eastAsia="en-GB"/>
        </w:rPr>
        <w:t xml:space="preserve">Africans and </w:t>
      </w:r>
      <w:r w:rsidR="0007724C" w:rsidRPr="00956BA2">
        <w:rPr>
          <w:rFonts w:eastAsia="Times New Roman" w:cstheme="minorHAnsi"/>
          <w:color w:val="000000"/>
          <w:lang w:eastAsia="en-GB"/>
        </w:rPr>
        <w:t xml:space="preserve">people of African </w:t>
      </w:r>
      <w:r w:rsidR="0083207A" w:rsidRPr="00956BA2">
        <w:rPr>
          <w:rFonts w:eastAsia="Times New Roman" w:cstheme="minorHAnsi"/>
          <w:color w:val="000000"/>
          <w:lang w:eastAsia="en-GB"/>
        </w:rPr>
        <w:t>descent) from</w:t>
      </w:r>
      <w:r w:rsidRPr="00956BA2">
        <w:rPr>
          <w:rFonts w:eastAsia="Times New Roman" w:cstheme="minorHAnsi"/>
          <w:color w:val="000000"/>
          <w:lang w:eastAsia="en-GB"/>
        </w:rPr>
        <w:t xml:space="preserve"> </w:t>
      </w:r>
      <w:r w:rsidR="004350EF" w:rsidRPr="00956BA2">
        <w:rPr>
          <w:rFonts w:eastAsia="Times New Roman" w:cstheme="minorHAnsi"/>
          <w:color w:val="000000"/>
          <w:lang w:eastAsia="en-GB"/>
        </w:rPr>
        <w:t>universal human rights</w:t>
      </w:r>
      <w:r w:rsidRPr="00956BA2">
        <w:rPr>
          <w:rFonts w:eastAsia="Times New Roman" w:cstheme="minorHAnsi"/>
          <w:color w:val="000000"/>
          <w:lang w:eastAsia="en-GB"/>
        </w:rPr>
        <w:t xml:space="preserve">. </w:t>
      </w:r>
      <w:r w:rsidR="008B5B1A" w:rsidRPr="00956BA2">
        <w:rPr>
          <w:rFonts w:eastAsia="Times New Roman" w:cstheme="minorHAnsi"/>
          <w:color w:val="000000"/>
          <w:lang w:eastAsia="en-GB"/>
        </w:rPr>
        <w:t>For example,</w:t>
      </w:r>
    </w:p>
    <w:p w14:paraId="2EEBB743" w14:textId="0906CCF5" w:rsidR="004663A6" w:rsidRPr="00956BA2" w:rsidRDefault="009C187C" w:rsidP="00D63905">
      <w:pPr>
        <w:spacing w:after="120" w:line="360" w:lineRule="auto"/>
        <w:ind w:left="560" w:right="560"/>
        <w:jc w:val="both"/>
        <w:rPr>
          <w:rFonts w:eastAsia="Times New Roman" w:cstheme="minorHAnsi"/>
          <w:color w:val="000000"/>
          <w:lang w:eastAsia="en-GB"/>
        </w:rPr>
      </w:pPr>
      <w:r w:rsidRPr="00956BA2">
        <w:rPr>
          <w:rFonts w:eastAsia="Times New Roman" w:cstheme="minorHAnsi"/>
          <w:color w:val="000000"/>
          <w:lang w:eastAsia="en-GB"/>
        </w:rPr>
        <w:t>“Over the last three decades, research has shown that  even when controlling for income level</w:t>
      </w:r>
      <w:r w:rsidR="00525450" w:rsidRPr="00956BA2">
        <w:rPr>
          <w:rFonts w:eastAsia="Times New Roman" w:cstheme="minorHAnsi"/>
          <w:color w:val="000000"/>
          <w:lang w:eastAsia="en-GB"/>
        </w:rPr>
        <w:t>,</w:t>
      </w:r>
      <w:r w:rsidRPr="00956BA2">
        <w:rPr>
          <w:rFonts w:eastAsia="Times New Roman" w:cstheme="minorHAnsi"/>
          <w:color w:val="000000"/>
          <w:lang w:eastAsia="en-GB"/>
        </w:rPr>
        <w:t xml:space="preserve"> Black students were four times more likely to be suspended than their white peers during the 2017-18 academic year (</w:t>
      </w:r>
      <w:r w:rsidR="00D06A69" w:rsidRPr="00956BA2">
        <w:rPr>
          <w:rFonts w:eastAsia="Times New Roman" w:cstheme="minorHAnsi"/>
          <w:color w:val="000000"/>
          <w:lang w:eastAsia="en-GB"/>
        </w:rPr>
        <w:t>They</w:t>
      </w:r>
      <w:r w:rsidRPr="00956BA2">
        <w:rPr>
          <w:rFonts w:eastAsia="Times New Roman" w:cstheme="minorHAnsi"/>
          <w:color w:val="000000"/>
          <w:lang w:eastAsia="en-GB"/>
        </w:rPr>
        <w:t>) are also more likely to attend schools with law enforcement and significant security measures on campus, and were twice as likely to be referred or arrested than their white peers in 2018-19 (...) the school-to-prison pipeline such disproportionality begets—has been attributed to biases, implicit or otherwise, that school officials may carry into the schoolhouse” (State of California 2021, p.215- 216).</w:t>
      </w:r>
    </w:p>
    <w:p w14:paraId="1BA194B8" w14:textId="77777777" w:rsidR="00D63905" w:rsidRPr="00956BA2" w:rsidRDefault="00D63905" w:rsidP="00D63905">
      <w:pPr>
        <w:spacing w:after="120" w:line="360" w:lineRule="auto"/>
        <w:ind w:left="560" w:right="560"/>
        <w:jc w:val="both"/>
        <w:rPr>
          <w:rFonts w:eastAsia="Times New Roman" w:cstheme="minorHAnsi"/>
          <w:lang w:eastAsia="en-GB"/>
        </w:rPr>
      </w:pPr>
    </w:p>
    <w:p w14:paraId="5DA41C5E" w14:textId="617B322B" w:rsidR="006F1F4E" w:rsidRPr="00956BA2" w:rsidRDefault="005A205A" w:rsidP="008D0528">
      <w:pPr>
        <w:spacing w:line="360" w:lineRule="auto"/>
        <w:jc w:val="both"/>
        <w:rPr>
          <w:rFonts w:cstheme="minorHAnsi"/>
        </w:rPr>
      </w:pPr>
      <w:r w:rsidRPr="00956BA2">
        <w:rPr>
          <w:rFonts w:cstheme="minorHAnsi"/>
          <w:i/>
          <w:iCs/>
        </w:rPr>
        <w:t>S</w:t>
      </w:r>
      <w:r w:rsidR="007D35B8" w:rsidRPr="00956BA2">
        <w:rPr>
          <w:rFonts w:cstheme="minorHAnsi"/>
          <w:i/>
          <w:iCs/>
        </w:rPr>
        <w:t>chool to prison pipelines</w:t>
      </w:r>
      <w:r w:rsidR="00693DA2" w:rsidRPr="00956BA2">
        <w:rPr>
          <w:rFonts w:cstheme="minorHAnsi"/>
        </w:rPr>
        <w:t xml:space="preserve"> </w:t>
      </w:r>
      <w:r w:rsidR="00B37F4A" w:rsidRPr="00956BA2">
        <w:rPr>
          <w:rFonts w:cstheme="minorHAnsi"/>
        </w:rPr>
        <w:t>are</w:t>
      </w:r>
      <w:r w:rsidR="00645255" w:rsidRPr="00956BA2">
        <w:rPr>
          <w:rFonts w:cstheme="minorHAnsi"/>
        </w:rPr>
        <w:t xml:space="preserve"> </w:t>
      </w:r>
      <w:r w:rsidR="00693DA2" w:rsidRPr="00956BA2">
        <w:rPr>
          <w:rFonts w:cstheme="minorHAnsi"/>
        </w:rPr>
        <w:t>also</w:t>
      </w:r>
      <w:r w:rsidR="0048500E" w:rsidRPr="00956BA2">
        <w:rPr>
          <w:rFonts w:cstheme="minorHAnsi"/>
        </w:rPr>
        <w:t xml:space="preserve"> </w:t>
      </w:r>
      <w:r w:rsidR="00645255" w:rsidRPr="00956BA2">
        <w:rPr>
          <w:rFonts w:cstheme="minorHAnsi"/>
        </w:rPr>
        <w:t>found</w:t>
      </w:r>
      <w:r w:rsidR="009A3C2B" w:rsidRPr="00956BA2">
        <w:rPr>
          <w:rFonts w:eastAsia="Times New Roman" w:cstheme="minorHAnsi"/>
          <w:lang w:eastAsia="en-GB"/>
        </w:rPr>
        <w:t xml:space="preserve"> </w:t>
      </w:r>
      <w:r w:rsidR="00C3681E" w:rsidRPr="00956BA2">
        <w:rPr>
          <w:rFonts w:eastAsia="Times New Roman" w:cstheme="minorHAnsi"/>
          <w:lang w:eastAsia="en-GB"/>
        </w:rPr>
        <w:t>i</w:t>
      </w:r>
      <w:r w:rsidR="008520C2" w:rsidRPr="00956BA2">
        <w:rPr>
          <w:rFonts w:cstheme="minorHAnsi"/>
        </w:rPr>
        <w:t>n Europe</w:t>
      </w:r>
      <w:r w:rsidR="004663A6" w:rsidRPr="00956BA2">
        <w:rPr>
          <w:rFonts w:cstheme="minorHAnsi"/>
        </w:rPr>
        <w:t>.</w:t>
      </w:r>
      <w:r w:rsidR="001359CA" w:rsidRPr="00956BA2">
        <w:rPr>
          <w:rFonts w:cstheme="minorHAnsi"/>
        </w:rPr>
        <w:t xml:space="preserve"> </w:t>
      </w:r>
      <w:r w:rsidRPr="00956BA2">
        <w:rPr>
          <w:rFonts w:cstheme="minorHAnsi"/>
        </w:rPr>
        <w:t xml:space="preserve"> </w:t>
      </w:r>
    </w:p>
    <w:p w14:paraId="28227957" w14:textId="3CA4945A" w:rsidR="00F324A3" w:rsidRPr="00956BA2" w:rsidRDefault="006A3435" w:rsidP="008D0528">
      <w:pPr>
        <w:spacing w:line="360" w:lineRule="auto"/>
        <w:ind w:left="510" w:right="510"/>
        <w:jc w:val="both"/>
        <w:rPr>
          <w:rFonts w:cstheme="minorHAnsi"/>
        </w:rPr>
      </w:pPr>
      <w:r w:rsidRPr="00956BA2">
        <w:rPr>
          <w:rFonts w:cstheme="minorHAnsi"/>
        </w:rPr>
        <w:t>“</w:t>
      </w:r>
      <w:r w:rsidR="002C7BF0" w:rsidRPr="00956BA2">
        <w:rPr>
          <w:rFonts w:cstheme="minorHAnsi"/>
        </w:rPr>
        <w:t>Adults</w:t>
      </w:r>
      <w:r w:rsidR="00DE7A74" w:rsidRPr="00956BA2">
        <w:rPr>
          <w:rFonts w:cstheme="minorHAnsi"/>
        </w:rPr>
        <w:t xml:space="preserve"> and children of African descent are increasingly vulnerable when held in police custody, with numerous incidents of violence and deaths </w:t>
      </w:r>
      <w:r w:rsidR="00B37F4A" w:rsidRPr="00956BA2">
        <w:rPr>
          <w:rFonts w:cstheme="minorHAnsi"/>
        </w:rPr>
        <w:t>recorded,</w:t>
      </w:r>
      <w:r w:rsidR="00DE7A74" w:rsidRPr="00956BA2">
        <w:rPr>
          <w:rFonts w:cstheme="minorHAnsi"/>
        </w:rPr>
        <w:t xml:space="preserve"> having regard to the routine use of racial profiling, discriminatory stop</w:t>
      </w:r>
      <w:r w:rsidR="00DE7A74" w:rsidRPr="00956BA2">
        <w:rPr>
          <w:rFonts w:cstheme="minorHAnsi"/>
        </w:rPr>
        <w:noBreakHyphen/>
        <w:t>and</w:t>
      </w:r>
      <w:r w:rsidR="00DE7A74" w:rsidRPr="00956BA2">
        <w:rPr>
          <w:rFonts w:cstheme="minorHAnsi"/>
        </w:rPr>
        <w:noBreakHyphen/>
        <w:t>search practices and surveillance in the context of abuse of power in law enforcement, crime prevention, counter-terrorism measures, or immigration control</w:t>
      </w:r>
      <w:r w:rsidR="0029712C" w:rsidRPr="00956BA2">
        <w:rPr>
          <w:rFonts w:cstheme="minorHAnsi"/>
        </w:rPr>
        <w:t>”</w:t>
      </w:r>
      <w:r w:rsidR="00B37F4A" w:rsidRPr="00956BA2">
        <w:rPr>
          <w:rFonts w:cstheme="minorHAnsi"/>
        </w:rPr>
        <w:t xml:space="preserve"> (European Parliament, 2019).</w:t>
      </w:r>
      <w:r w:rsidR="0029712C" w:rsidRPr="00956BA2">
        <w:rPr>
          <w:rFonts w:cstheme="minorHAnsi"/>
        </w:rPr>
        <w:t xml:space="preserve"> </w:t>
      </w:r>
    </w:p>
    <w:p w14:paraId="47A85C4C" w14:textId="1B0F5E5B" w:rsidR="00473676" w:rsidRPr="00956BA2" w:rsidRDefault="00D63905" w:rsidP="008D0528">
      <w:pPr>
        <w:spacing w:line="360" w:lineRule="auto"/>
        <w:jc w:val="both"/>
        <w:rPr>
          <w:rFonts w:cstheme="minorHAnsi"/>
        </w:rPr>
      </w:pPr>
      <w:r w:rsidRPr="00956BA2">
        <w:rPr>
          <w:rFonts w:cstheme="minorHAnsi"/>
        </w:rPr>
        <w:t xml:space="preserve">According to a report </w:t>
      </w:r>
      <w:r w:rsidR="00CD6689" w:rsidRPr="00956BA2">
        <w:rPr>
          <w:rFonts w:cstheme="minorHAnsi"/>
        </w:rPr>
        <w:t>broadcast</w:t>
      </w:r>
      <w:r w:rsidRPr="00956BA2">
        <w:rPr>
          <w:rFonts w:cstheme="minorHAnsi"/>
        </w:rPr>
        <w:t xml:space="preserve"> Black </w:t>
      </w:r>
      <w:r w:rsidR="00CD6689" w:rsidRPr="00956BA2">
        <w:rPr>
          <w:rFonts w:cstheme="minorHAnsi"/>
        </w:rPr>
        <w:t>Talk</w:t>
      </w:r>
      <w:r w:rsidRPr="00956BA2">
        <w:rPr>
          <w:rFonts w:cstheme="minorHAnsi"/>
        </w:rPr>
        <w:t xml:space="preserve"> Radio </w:t>
      </w:r>
      <w:r w:rsidR="00CD6689" w:rsidRPr="00956BA2">
        <w:rPr>
          <w:rFonts w:cstheme="minorHAnsi"/>
        </w:rPr>
        <w:t xml:space="preserve">Network </w:t>
      </w:r>
      <w:r w:rsidRPr="00956BA2">
        <w:rPr>
          <w:rFonts w:cstheme="minorHAnsi"/>
        </w:rPr>
        <w:t>on 20</w:t>
      </w:r>
      <w:r w:rsidR="00302034" w:rsidRPr="00956BA2">
        <w:rPr>
          <w:rFonts w:cstheme="minorHAnsi"/>
        </w:rPr>
        <w:t xml:space="preserve"> March 2022</w:t>
      </w:r>
      <w:r w:rsidR="00CD6689" w:rsidRPr="00956BA2">
        <w:rPr>
          <w:rFonts w:cstheme="minorHAnsi"/>
        </w:rPr>
        <w:t>,</w:t>
      </w:r>
      <w:r w:rsidR="00302034" w:rsidRPr="00956BA2">
        <w:rPr>
          <w:rFonts w:cstheme="minorHAnsi"/>
        </w:rPr>
        <w:t xml:space="preserve"> an </w:t>
      </w:r>
      <w:proofErr w:type="spellStart"/>
      <w:r w:rsidR="00302034" w:rsidRPr="00956BA2">
        <w:rPr>
          <w:rFonts w:cstheme="minorHAnsi"/>
        </w:rPr>
        <w:t>Afrikan</w:t>
      </w:r>
      <w:proofErr w:type="spellEnd"/>
      <w:r w:rsidR="00302034" w:rsidRPr="00956BA2">
        <w:rPr>
          <w:rFonts w:cstheme="minorHAnsi"/>
        </w:rPr>
        <w:t xml:space="preserve"> </w:t>
      </w:r>
      <w:r w:rsidR="009542AB" w:rsidRPr="00956BA2">
        <w:rPr>
          <w:rFonts w:cstheme="minorHAnsi"/>
        </w:rPr>
        <w:t>youth</w:t>
      </w:r>
      <w:r w:rsidR="00302034" w:rsidRPr="00956BA2">
        <w:rPr>
          <w:rFonts w:cstheme="minorHAnsi"/>
        </w:rPr>
        <w:t xml:space="preserve"> </w:t>
      </w:r>
      <w:r w:rsidR="00906C34" w:rsidRPr="00956BA2">
        <w:rPr>
          <w:rFonts w:cstheme="minorHAnsi"/>
        </w:rPr>
        <w:t>“Child Q</w:t>
      </w:r>
      <w:r w:rsidR="00215ABC" w:rsidRPr="00956BA2">
        <w:rPr>
          <w:rFonts w:cstheme="minorHAnsi"/>
        </w:rPr>
        <w:t xml:space="preserve">” </w:t>
      </w:r>
      <w:r w:rsidR="00302034" w:rsidRPr="00956BA2">
        <w:rPr>
          <w:rFonts w:cstheme="minorHAnsi"/>
        </w:rPr>
        <w:t xml:space="preserve">was </w:t>
      </w:r>
      <w:r w:rsidR="009542AB" w:rsidRPr="00956BA2">
        <w:rPr>
          <w:rFonts w:cstheme="minorHAnsi"/>
        </w:rPr>
        <w:t xml:space="preserve">subjected to an unjustified </w:t>
      </w:r>
      <w:r w:rsidR="00FF5312" w:rsidRPr="00956BA2">
        <w:rPr>
          <w:rFonts w:cstheme="minorHAnsi"/>
        </w:rPr>
        <w:t xml:space="preserve">and </w:t>
      </w:r>
      <w:r w:rsidR="000D5F8B" w:rsidRPr="00956BA2">
        <w:rPr>
          <w:rFonts w:cstheme="minorHAnsi"/>
        </w:rPr>
        <w:t xml:space="preserve">traumatising </w:t>
      </w:r>
      <w:r w:rsidR="004B7F27" w:rsidRPr="00956BA2">
        <w:rPr>
          <w:rFonts w:cstheme="minorHAnsi"/>
        </w:rPr>
        <w:t>intimate</w:t>
      </w:r>
      <w:r w:rsidR="00CD6689" w:rsidRPr="00956BA2">
        <w:rPr>
          <w:rFonts w:cstheme="minorHAnsi"/>
        </w:rPr>
        <w:t xml:space="preserve"> </w:t>
      </w:r>
      <w:r w:rsidR="00302034" w:rsidRPr="00956BA2">
        <w:rPr>
          <w:rFonts w:cstheme="minorHAnsi"/>
        </w:rPr>
        <w:t>strip</w:t>
      </w:r>
      <w:r w:rsidR="00397A75" w:rsidRPr="00956BA2">
        <w:rPr>
          <w:rFonts w:cstheme="minorHAnsi"/>
        </w:rPr>
        <w:t xml:space="preserve">-search by </w:t>
      </w:r>
      <w:r w:rsidR="00255F87" w:rsidRPr="00956BA2">
        <w:rPr>
          <w:rFonts w:cstheme="minorHAnsi"/>
        </w:rPr>
        <w:t xml:space="preserve">the </w:t>
      </w:r>
      <w:r w:rsidR="004663A6" w:rsidRPr="00956BA2">
        <w:rPr>
          <w:rFonts w:cstheme="minorHAnsi"/>
        </w:rPr>
        <w:t xml:space="preserve">UK’s </w:t>
      </w:r>
      <w:r w:rsidR="001B15F8" w:rsidRPr="00956BA2">
        <w:rPr>
          <w:rFonts w:cstheme="minorHAnsi"/>
        </w:rPr>
        <w:t>Metropolitan</w:t>
      </w:r>
      <w:r w:rsidR="00255F87" w:rsidRPr="00956BA2">
        <w:rPr>
          <w:rFonts w:cstheme="minorHAnsi"/>
        </w:rPr>
        <w:t xml:space="preserve"> Police</w:t>
      </w:r>
      <w:r w:rsidR="00397A75" w:rsidRPr="00956BA2">
        <w:rPr>
          <w:rFonts w:cstheme="minorHAnsi"/>
        </w:rPr>
        <w:t xml:space="preserve"> </w:t>
      </w:r>
      <w:r w:rsidR="000E5C65" w:rsidRPr="00956BA2">
        <w:rPr>
          <w:rFonts w:cstheme="minorHAnsi"/>
        </w:rPr>
        <w:t xml:space="preserve">in </w:t>
      </w:r>
      <w:r w:rsidR="002F2B08" w:rsidRPr="00956BA2">
        <w:rPr>
          <w:rFonts w:cstheme="minorHAnsi"/>
        </w:rPr>
        <w:t xml:space="preserve">2020, </w:t>
      </w:r>
      <w:r w:rsidR="00110371" w:rsidRPr="00956BA2">
        <w:rPr>
          <w:rFonts w:cstheme="minorHAnsi"/>
        </w:rPr>
        <w:t xml:space="preserve">following </w:t>
      </w:r>
      <w:r w:rsidR="00A82822" w:rsidRPr="00956BA2">
        <w:rPr>
          <w:rFonts w:cstheme="minorHAnsi"/>
        </w:rPr>
        <w:t>schoolteachers’</w:t>
      </w:r>
      <w:r w:rsidR="008446D5" w:rsidRPr="00956BA2">
        <w:rPr>
          <w:rFonts w:cstheme="minorHAnsi"/>
        </w:rPr>
        <w:t xml:space="preserve"> </w:t>
      </w:r>
      <w:r w:rsidR="00110371" w:rsidRPr="00956BA2">
        <w:rPr>
          <w:rFonts w:cstheme="minorHAnsi"/>
        </w:rPr>
        <w:t>allegations that</w:t>
      </w:r>
      <w:r w:rsidR="006D63F4" w:rsidRPr="00956BA2">
        <w:rPr>
          <w:rFonts w:cstheme="minorHAnsi"/>
        </w:rPr>
        <w:t xml:space="preserve"> she smelt of </w:t>
      </w:r>
      <w:r w:rsidR="001D0E51" w:rsidRPr="00956BA2">
        <w:rPr>
          <w:rFonts w:cstheme="minorHAnsi"/>
        </w:rPr>
        <w:t>cannabis</w:t>
      </w:r>
      <w:r w:rsidR="00A82822" w:rsidRPr="00956BA2">
        <w:rPr>
          <w:rFonts w:cstheme="minorHAnsi"/>
        </w:rPr>
        <w:t>,</w:t>
      </w:r>
      <w:r w:rsidR="001D0E51" w:rsidRPr="00956BA2">
        <w:rPr>
          <w:rFonts w:cstheme="minorHAnsi"/>
        </w:rPr>
        <w:t xml:space="preserve"> and</w:t>
      </w:r>
      <w:r w:rsidR="00665280" w:rsidRPr="00956BA2">
        <w:rPr>
          <w:rFonts w:cstheme="minorHAnsi"/>
        </w:rPr>
        <w:t xml:space="preserve"> </w:t>
      </w:r>
      <w:r w:rsidR="00A82822" w:rsidRPr="00956BA2">
        <w:rPr>
          <w:rFonts w:cstheme="minorHAnsi"/>
        </w:rPr>
        <w:t xml:space="preserve">was </w:t>
      </w:r>
      <w:r w:rsidR="00665280" w:rsidRPr="00956BA2">
        <w:rPr>
          <w:rFonts w:cstheme="minorHAnsi"/>
        </w:rPr>
        <w:t>suspected to be</w:t>
      </w:r>
      <w:r w:rsidR="004B7F27" w:rsidRPr="00956BA2">
        <w:rPr>
          <w:rFonts w:cstheme="minorHAnsi"/>
        </w:rPr>
        <w:t xml:space="preserve"> carrying drugs</w:t>
      </w:r>
      <w:r w:rsidR="006D63F4" w:rsidRPr="00956BA2">
        <w:rPr>
          <w:rFonts w:cstheme="minorHAnsi"/>
        </w:rPr>
        <w:t>.</w:t>
      </w:r>
      <w:r w:rsidR="00FB07D8" w:rsidRPr="00956BA2">
        <w:rPr>
          <w:rFonts w:cstheme="minorHAnsi"/>
        </w:rPr>
        <w:t xml:space="preserve"> </w:t>
      </w:r>
      <w:r w:rsidR="009B1F0C" w:rsidRPr="00956BA2">
        <w:rPr>
          <w:rFonts w:cstheme="minorHAnsi"/>
        </w:rPr>
        <w:t>T</w:t>
      </w:r>
      <w:r w:rsidR="002D7452" w:rsidRPr="00956BA2">
        <w:rPr>
          <w:rFonts w:cstheme="minorHAnsi"/>
        </w:rPr>
        <w:t>he International Decade for people of African Descent</w:t>
      </w:r>
      <w:r w:rsidR="0026641E" w:rsidRPr="00956BA2">
        <w:rPr>
          <w:rFonts w:cstheme="minorHAnsi"/>
        </w:rPr>
        <w:t xml:space="preserve"> (IDPAD)’s thematic objectives of </w:t>
      </w:r>
      <w:r w:rsidR="0026641E" w:rsidRPr="00956BA2">
        <w:rPr>
          <w:rFonts w:cstheme="minorHAnsi"/>
          <w:b/>
          <w:bCs/>
        </w:rPr>
        <w:t>recognition</w:t>
      </w:r>
      <w:r w:rsidR="0026641E" w:rsidRPr="00956BA2">
        <w:rPr>
          <w:rFonts w:cstheme="minorHAnsi"/>
        </w:rPr>
        <w:t xml:space="preserve">, </w:t>
      </w:r>
      <w:r w:rsidR="0026641E" w:rsidRPr="00956BA2">
        <w:rPr>
          <w:rFonts w:cstheme="minorHAnsi"/>
          <w:b/>
          <w:bCs/>
        </w:rPr>
        <w:t>justice</w:t>
      </w:r>
      <w:r w:rsidR="0026641E" w:rsidRPr="00956BA2">
        <w:rPr>
          <w:rFonts w:cstheme="minorHAnsi"/>
        </w:rPr>
        <w:t xml:space="preserve">, and </w:t>
      </w:r>
      <w:r w:rsidR="0026641E" w:rsidRPr="00956BA2">
        <w:rPr>
          <w:rFonts w:cstheme="minorHAnsi"/>
          <w:b/>
          <w:bCs/>
        </w:rPr>
        <w:t>development</w:t>
      </w:r>
      <w:r w:rsidR="005E7149" w:rsidRPr="00956BA2">
        <w:rPr>
          <w:rFonts w:cstheme="minorHAnsi"/>
        </w:rPr>
        <w:t xml:space="preserve">, </w:t>
      </w:r>
      <w:r w:rsidR="009B1F0C" w:rsidRPr="00956BA2">
        <w:rPr>
          <w:rFonts w:cstheme="minorHAnsi"/>
        </w:rPr>
        <w:t xml:space="preserve">can be employed to advocate </w:t>
      </w:r>
      <w:r w:rsidR="00AB2303" w:rsidRPr="00956BA2">
        <w:rPr>
          <w:rFonts w:cstheme="minorHAnsi"/>
        </w:rPr>
        <w:t>remedies and redress</w:t>
      </w:r>
      <w:r w:rsidR="00AB06A6" w:rsidRPr="00956BA2">
        <w:rPr>
          <w:rFonts w:cstheme="minorHAnsi"/>
        </w:rPr>
        <w:t xml:space="preserve"> as</w:t>
      </w:r>
      <w:r w:rsidR="00197715" w:rsidRPr="00956BA2">
        <w:rPr>
          <w:rFonts w:cstheme="minorHAnsi"/>
        </w:rPr>
        <w:t xml:space="preserve"> interventions </w:t>
      </w:r>
      <w:r w:rsidR="00AB06A6" w:rsidRPr="00956BA2">
        <w:rPr>
          <w:rFonts w:cstheme="minorHAnsi"/>
        </w:rPr>
        <w:t>to achieve reparat</w:t>
      </w:r>
      <w:r w:rsidR="00DC1D5C" w:rsidRPr="00956BA2">
        <w:rPr>
          <w:rFonts w:cstheme="minorHAnsi"/>
        </w:rPr>
        <w:t>ory justice</w:t>
      </w:r>
      <w:r w:rsidR="00182365" w:rsidRPr="00956BA2">
        <w:rPr>
          <w:rFonts w:cstheme="minorHAnsi"/>
        </w:rPr>
        <w:t xml:space="preserve"> where White supremacist </w:t>
      </w:r>
      <w:r w:rsidR="002A360A" w:rsidRPr="00956BA2">
        <w:rPr>
          <w:rFonts w:cstheme="minorHAnsi"/>
        </w:rPr>
        <w:t>hegemony persists</w:t>
      </w:r>
      <w:r w:rsidR="00AB2303" w:rsidRPr="00956BA2">
        <w:rPr>
          <w:rFonts w:cstheme="minorHAnsi"/>
        </w:rPr>
        <w:t>.</w:t>
      </w:r>
    </w:p>
    <w:p w14:paraId="37A38F0B" w14:textId="77777777" w:rsidR="00A82822" w:rsidRPr="00956BA2" w:rsidRDefault="00A82822" w:rsidP="008D0528">
      <w:pPr>
        <w:spacing w:line="360" w:lineRule="auto"/>
        <w:jc w:val="both"/>
        <w:rPr>
          <w:rFonts w:cstheme="minorHAnsi"/>
        </w:rPr>
      </w:pPr>
    </w:p>
    <w:p w14:paraId="223A0A64" w14:textId="507767AF" w:rsidR="009C187C" w:rsidRPr="00956BA2" w:rsidRDefault="001B1CB7" w:rsidP="009933D1">
      <w:pPr>
        <w:pStyle w:val="ListParagraph"/>
        <w:numPr>
          <w:ilvl w:val="0"/>
          <w:numId w:val="3"/>
        </w:numPr>
        <w:shd w:val="clear" w:color="auto" w:fill="FFFFFF"/>
        <w:spacing w:before="120" w:after="120" w:line="360" w:lineRule="auto"/>
        <w:jc w:val="both"/>
        <w:rPr>
          <w:rFonts w:eastAsia="Times New Roman" w:cstheme="minorHAnsi"/>
          <w:b/>
          <w:bCs/>
          <w:color w:val="000000"/>
          <w:lang w:eastAsia="en-GB"/>
        </w:rPr>
      </w:pPr>
      <w:r w:rsidRPr="00956BA2">
        <w:rPr>
          <w:rFonts w:eastAsia="Times New Roman" w:cstheme="minorHAnsi"/>
          <w:b/>
          <w:bCs/>
          <w:color w:val="000000"/>
          <w:lang w:eastAsia="en-GB"/>
        </w:rPr>
        <w:lastRenderedPageBreak/>
        <w:t xml:space="preserve">Addressing </w:t>
      </w:r>
      <w:r w:rsidR="009C187C" w:rsidRPr="00956BA2">
        <w:rPr>
          <w:rFonts w:eastAsia="Times New Roman" w:cstheme="minorHAnsi"/>
          <w:b/>
          <w:bCs/>
          <w:i/>
          <w:iCs/>
          <w:color w:val="000000"/>
          <w:lang w:eastAsia="en-GB"/>
        </w:rPr>
        <w:t xml:space="preserve">School to </w:t>
      </w:r>
      <w:r w:rsidR="003572E8" w:rsidRPr="00956BA2">
        <w:rPr>
          <w:rFonts w:eastAsia="Times New Roman" w:cstheme="minorHAnsi"/>
          <w:b/>
          <w:bCs/>
          <w:i/>
          <w:iCs/>
          <w:color w:val="000000"/>
          <w:lang w:eastAsia="en-GB"/>
        </w:rPr>
        <w:t>P</w:t>
      </w:r>
      <w:r w:rsidR="009C187C" w:rsidRPr="00956BA2">
        <w:rPr>
          <w:rFonts w:eastAsia="Times New Roman" w:cstheme="minorHAnsi"/>
          <w:b/>
          <w:bCs/>
          <w:i/>
          <w:iCs/>
          <w:color w:val="000000"/>
          <w:lang w:eastAsia="en-GB"/>
        </w:rPr>
        <w:t>rison pipelines</w:t>
      </w:r>
      <w:r w:rsidR="004B61E2" w:rsidRPr="00956BA2">
        <w:rPr>
          <w:rFonts w:eastAsia="Times New Roman" w:cstheme="minorHAnsi"/>
          <w:b/>
          <w:bCs/>
          <w:color w:val="000000"/>
          <w:lang w:eastAsia="en-GB"/>
        </w:rPr>
        <w:t xml:space="preserve"> in </w:t>
      </w:r>
      <w:r w:rsidR="0092780A" w:rsidRPr="00956BA2">
        <w:rPr>
          <w:rFonts w:eastAsia="Times New Roman" w:cstheme="minorHAnsi"/>
          <w:b/>
          <w:bCs/>
          <w:color w:val="000000"/>
          <w:lang w:eastAsia="en-GB"/>
        </w:rPr>
        <w:t xml:space="preserve">the </w:t>
      </w:r>
      <w:r w:rsidR="00302599">
        <w:rPr>
          <w:rFonts w:eastAsia="Times New Roman" w:cstheme="minorHAnsi"/>
          <w:b/>
          <w:bCs/>
          <w:color w:val="000000"/>
          <w:lang w:eastAsia="en-GB"/>
        </w:rPr>
        <w:t xml:space="preserve">context of </w:t>
      </w:r>
      <w:r w:rsidR="00DD5510" w:rsidRPr="00956BA2">
        <w:rPr>
          <w:rFonts w:cstheme="minorHAnsi"/>
          <w:b/>
          <w:bCs/>
        </w:rPr>
        <w:t>A/HRC/47/53</w:t>
      </w:r>
      <w:r w:rsidR="0092780A" w:rsidRPr="00956BA2">
        <w:rPr>
          <w:rFonts w:cstheme="minorHAnsi"/>
          <w:b/>
          <w:bCs/>
        </w:rPr>
        <w:t>’s Four Point Agenda</w:t>
      </w:r>
    </w:p>
    <w:p w14:paraId="15590DFA" w14:textId="10D00A4A" w:rsidR="006570F9" w:rsidRPr="00956BA2" w:rsidRDefault="001D0E51" w:rsidP="004A17A7">
      <w:pPr>
        <w:spacing w:before="240" w:after="240" w:line="360" w:lineRule="auto"/>
        <w:jc w:val="both"/>
        <w:rPr>
          <w:rFonts w:eastAsia="Times New Roman" w:cstheme="minorHAnsi"/>
          <w:lang w:eastAsia="en-GB"/>
        </w:rPr>
      </w:pPr>
      <w:r w:rsidRPr="00956BA2">
        <w:rPr>
          <w:rFonts w:cstheme="minorHAnsi"/>
          <w:i/>
          <w:iCs/>
          <w:color w:val="000000"/>
        </w:rPr>
        <w:t>School-to-prison pipelines</w:t>
      </w:r>
      <w:r w:rsidRPr="00956BA2">
        <w:rPr>
          <w:rFonts w:cstheme="minorHAnsi"/>
          <w:color w:val="000000"/>
        </w:rPr>
        <w:t xml:space="preserve"> attributed to racial biases, implicit or otherwise, illustrate Critical Race Theory (CRT)’s central tenet of </w:t>
      </w:r>
      <w:r w:rsidRPr="00956BA2">
        <w:rPr>
          <w:rFonts w:cstheme="minorHAnsi"/>
          <w:i/>
          <w:iCs/>
          <w:color w:val="000000"/>
        </w:rPr>
        <w:t xml:space="preserve">the </w:t>
      </w:r>
      <w:proofErr w:type="spellStart"/>
      <w:r w:rsidRPr="00956BA2">
        <w:rPr>
          <w:rFonts w:cstheme="minorHAnsi"/>
          <w:i/>
          <w:iCs/>
          <w:color w:val="000000"/>
        </w:rPr>
        <w:t>ordariness</w:t>
      </w:r>
      <w:proofErr w:type="spellEnd"/>
      <w:r w:rsidRPr="00956BA2">
        <w:rPr>
          <w:rFonts w:cstheme="minorHAnsi"/>
          <w:i/>
          <w:iCs/>
          <w:color w:val="000000"/>
        </w:rPr>
        <w:t xml:space="preserve"> of racism</w:t>
      </w:r>
      <w:r w:rsidR="004F4CFD" w:rsidRPr="00956BA2">
        <w:rPr>
          <w:rFonts w:cstheme="minorHAnsi"/>
          <w:i/>
          <w:iCs/>
          <w:color w:val="000000"/>
        </w:rPr>
        <w:t xml:space="preserve">. </w:t>
      </w:r>
      <w:r w:rsidR="00A82822" w:rsidRPr="00956BA2">
        <w:rPr>
          <w:rFonts w:cstheme="minorHAnsi"/>
          <w:color w:val="000000"/>
        </w:rPr>
        <w:t>Biases</w:t>
      </w:r>
      <w:r w:rsidR="004F4CFD" w:rsidRPr="00956BA2">
        <w:rPr>
          <w:rFonts w:cstheme="minorHAnsi"/>
          <w:color w:val="000000"/>
        </w:rPr>
        <w:t xml:space="preserve"> do so by</w:t>
      </w:r>
      <w:r w:rsidRPr="00956BA2">
        <w:rPr>
          <w:rFonts w:cstheme="minorHAnsi"/>
          <w:color w:val="000000"/>
        </w:rPr>
        <w:t xml:space="preserve"> upholding White supremacist </w:t>
      </w:r>
      <w:r w:rsidR="004F4CFD" w:rsidRPr="00956BA2">
        <w:rPr>
          <w:rFonts w:cstheme="minorHAnsi"/>
          <w:color w:val="000000"/>
        </w:rPr>
        <w:t xml:space="preserve">educational </w:t>
      </w:r>
      <w:r w:rsidRPr="00956BA2">
        <w:rPr>
          <w:rFonts w:cstheme="minorHAnsi"/>
          <w:color w:val="000000"/>
        </w:rPr>
        <w:t>curricula</w:t>
      </w:r>
      <w:r w:rsidR="004F4CFD" w:rsidRPr="00956BA2">
        <w:rPr>
          <w:rFonts w:cstheme="minorHAnsi"/>
          <w:color w:val="000000"/>
        </w:rPr>
        <w:t>,</w:t>
      </w:r>
      <w:r w:rsidRPr="00956BA2">
        <w:rPr>
          <w:rFonts w:cstheme="minorHAnsi"/>
          <w:color w:val="000000"/>
        </w:rPr>
        <w:t xml:space="preserve"> pedagogies</w:t>
      </w:r>
      <w:r w:rsidR="004F4CFD" w:rsidRPr="00956BA2">
        <w:rPr>
          <w:rFonts w:cstheme="minorHAnsi"/>
          <w:color w:val="000000"/>
        </w:rPr>
        <w:t xml:space="preserve">, </w:t>
      </w:r>
      <w:r w:rsidR="004A17A7" w:rsidRPr="00956BA2">
        <w:rPr>
          <w:rFonts w:cstheme="minorHAnsi"/>
          <w:color w:val="000000"/>
        </w:rPr>
        <w:t xml:space="preserve">systems, and structures </w:t>
      </w:r>
      <w:r w:rsidR="00CC183A" w:rsidRPr="00956BA2">
        <w:rPr>
          <w:rFonts w:cstheme="minorHAnsi"/>
          <w:color w:val="000000"/>
        </w:rPr>
        <w:t xml:space="preserve">even </w:t>
      </w:r>
      <w:r w:rsidR="00391725" w:rsidRPr="00956BA2">
        <w:rPr>
          <w:rFonts w:cstheme="minorHAnsi"/>
          <w:color w:val="000000"/>
        </w:rPr>
        <w:t>in countries</w:t>
      </w:r>
      <w:r w:rsidR="004F4CFD" w:rsidRPr="00956BA2">
        <w:rPr>
          <w:rFonts w:cstheme="minorHAnsi"/>
          <w:color w:val="000000"/>
        </w:rPr>
        <w:t xml:space="preserve"> that have</w:t>
      </w:r>
      <w:r w:rsidR="004F4CFD" w:rsidRPr="00956BA2">
        <w:rPr>
          <w:rFonts w:eastAsia="Times New Roman" w:cstheme="minorHAnsi"/>
          <w:color w:val="000000"/>
          <w:lang w:eastAsia="en-GB"/>
        </w:rPr>
        <w:t xml:space="preserve"> ratified the International Convention for the Elimination of Racial Discrimination (ICERD) 1965</w:t>
      </w:r>
      <w:r w:rsidR="004A17A7" w:rsidRPr="00956BA2">
        <w:rPr>
          <w:rFonts w:eastAsia="Times New Roman" w:cstheme="minorHAnsi"/>
          <w:color w:val="000000"/>
          <w:lang w:eastAsia="en-GB"/>
        </w:rPr>
        <w:t>. In that regard,</w:t>
      </w:r>
    </w:p>
    <w:p w14:paraId="24C0D8E2" w14:textId="26557D0C" w:rsidR="006570F9" w:rsidRPr="00956BA2" w:rsidRDefault="006570F9" w:rsidP="006570F9">
      <w:pPr>
        <w:spacing w:line="360" w:lineRule="auto"/>
        <w:ind w:left="510" w:right="510"/>
        <w:jc w:val="both"/>
        <w:rPr>
          <w:rFonts w:cstheme="minorHAnsi"/>
          <w:color w:val="666666"/>
          <w:shd w:val="clear" w:color="auto" w:fill="FFFFFF"/>
        </w:rPr>
      </w:pPr>
      <w:r w:rsidRPr="00956BA2">
        <w:rPr>
          <w:rFonts w:cstheme="minorHAnsi"/>
          <w:color w:val="666666"/>
          <w:shd w:val="clear" w:color="auto" w:fill="FFFFFF"/>
        </w:rPr>
        <w:t>“The terms ‘Afrophobia’, ‘</w:t>
      </w:r>
      <w:proofErr w:type="spellStart"/>
      <w:r w:rsidRPr="00956BA2">
        <w:rPr>
          <w:rFonts w:cstheme="minorHAnsi"/>
          <w:color w:val="666666"/>
          <w:shd w:val="clear" w:color="auto" w:fill="FFFFFF"/>
        </w:rPr>
        <w:t>Afri</w:t>
      </w:r>
      <w:proofErr w:type="spellEnd"/>
      <w:r w:rsidRPr="00956BA2">
        <w:rPr>
          <w:rFonts w:cstheme="minorHAnsi"/>
          <w:color w:val="666666"/>
          <w:shd w:val="clear" w:color="auto" w:fill="FFFFFF"/>
        </w:rPr>
        <w:t>-phobia’ and ‘anti-black racism’ refer to a specific form of racism, including any act of violence or discrimination, fuelled by historical abuses and negative stereotyping, and leading to the exclusion and dehumanisation of people of African descent, whereas this correlates to historically repressive structures of colonialism and the transatlantic slave trade, as recognised by the Council of Europe’s High Commissioner for Human Rights” (European Parliament, 2019).</w:t>
      </w:r>
    </w:p>
    <w:p w14:paraId="3C44CCBB" w14:textId="77777777" w:rsidR="00F25B37" w:rsidRPr="00956BA2" w:rsidRDefault="00F25B37" w:rsidP="008D0528">
      <w:pPr>
        <w:spacing w:line="360" w:lineRule="auto"/>
        <w:jc w:val="both"/>
        <w:rPr>
          <w:rFonts w:cstheme="minorHAnsi"/>
        </w:rPr>
      </w:pPr>
    </w:p>
    <w:p w14:paraId="3ABC186B" w14:textId="44292495" w:rsidR="007D2AB1" w:rsidRPr="00956BA2" w:rsidRDefault="00D63905" w:rsidP="008D0528">
      <w:pPr>
        <w:spacing w:line="360" w:lineRule="auto"/>
        <w:jc w:val="both"/>
        <w:rPr>
          <w:rFonts w:cstheme="minorHAnsi"/>
        </w:rPr>
      </w:pPr>
      <w:r w:rsidRPr="00956BA2">
        <w:rPr>
          <w:rFonts w:cstheme="minorHAnsi"/>
        </w:rPr>
        <w:t>R</w:t>
      </w:r>
      <w:r w:rsidR="00A1710D" w:rsidRPr="00956BA2">
        <w:rPr>
          <w:rFonts w:cstheme="minorHAnsi"/>
        </w:rPr>
        <w:t xml:space="preserve">acial </w:t>
      </w:r>
      <w:r w:rsidR="002A31DF" w:rsidRPr="00956BA2">
        <w:rPr>
          <w:rFonts w:cstheme="minorHAnsi"/>
        </w:rPr>
        <w:t xml:space="preserve">bias </w:t>
      </w:r>
      <w:r w:rsidR="00EB7B0F" w:rsidRPr="00956BA2">
        <w:rPr>
          <w:rFonts w:cstheme="minorHAnsi"/>
        </w:rPr>
        <w:t>is sometimes</w:t>
      </w:r>
      <w:r w:rsidR="002A31DF" w:rsidRPr="00956BA2">
        <w:rPr>
          <w:rFonts w:cstheme="minorHAnsi"/>
        </w:rPr>
        <w:t xml:space="preserve"> demonstrated </w:t>
      </w:r>
      <w:r w:rsidR="000A486F" w:rsidRPr="00956BA2">
        <w:rPr>
          <w:rFonts w:cstheme="minorHAnsi"/>
        </w:rPr>
        <w:t xml:space="preserve">by schoolteachers and law enforcement </w:t>
      </w:r>
      <w:r w:rsidR="00700D77" w:rsidRPr="00956BA2">
        <w:rPr>
          <w:rFonts w:cstheme="minorHAnsi"/>
        </w:rPr>
        <w:t>in</w:t>
      </w:r>
      <w:r w:rsidR="00EB7B0F" w:rsidRPr="00956BA2">
        <w:rPr>
          <w:rFonts w:cstheme="minorHAnsi"/>
        </w:rPr>
        <w:t xml:space="preserve"> countries of the Global North, </w:t>
      </w:r>
      <w:r w:rsidR="00361C19" w:rsidRPr="00956BA2">
        <w:rPr>
          <w:rFonts w:cstheme="minorHAnsi"/>
        </w:rPr>
        <w:t>where</w:t>
      </w:r>
      <w:r w:rsidR="002A31DF" w:rsidRPr="00956BA2">
        <w:rPr>
          <w:rFonts w:cstheme="minorHAnsi"/>
        </w:rPr>
        <w:t xml:space="preserve"> </w:t>
      </w:r>
      <w:r w:rsidR="00F9541F" w:rsidRPr="00956BA2">
        <w:rPr>
          <w:rFonts w:cstheme="minorHAnsi"/>
        </w:rPr>
        <w:t>“</w:t>
      </w:r>
      <w:r w:rsidR="00F9541F" w:rsidRPr="00956BA2">
        <w:rPr>
          <w:rFonts w:cstheme="minorHAnsi"/>
          <w:i/>
          <w:iCs/>
        </w:rPr>
        <w:t>adult-</w:t>
      </w:r>
      <w:proofErr w:type="spellStart"/>
      <w:r w:rsidR="00F9541F" w:rsidRPr="00956BA2">
        <w:rPr>
          <w:rFonts w:cstheme="minorHAnsi"/>
          <w:i/>
          <w:iCs/>
        </w:rPr>
        <w:t>ification</w:t>
      </w:r>
      <w:proofErr w:type="spellEnd"/>
      <w:r w:rsidR="00F9541F" w:rsidRPr="00956BA2">
        <w:rPr>
          <w:rFonts w:cstheme="minorHAnsi"/>
        </w:rPr>
        <w:t xml:space="preserve">” </w:t>
      </w:r>
      <w:r w:rsidR="00361C19" w:rsidRPr="00956BA2">
        <w:rPr>
          <w:rFonts w:cstheme="minorHAnsi"/>
        </w:rPr>
        <w:t xml:space="preserve">of </w:t>
      </w:r>
      <w:proofErr w:type="spellStart"/>
      <w:r w:rsidR="00F9541F" w:rsidRPr="00956BA2">
        <w:rPr>
          <w:rFonts w:cstheme="minorHAnsi"/>
        </w:rPr>
        <w:t>Afrikan</w:t>
      </w:r>
      <w:proofErr w:type="spellEnd"/>
      <w:r w:rsidR="00F9541F" w:rsidRPr="00956BA2">
        <w:rPr>
          <w:rFonts w:cstheme="minorHAnsi"/>
        </w:rPr>
        <w:t xml:space="preserve"> </w:t>
      </w:r>
      <w:r w:rsidR="00A004EB" w:rsidRPr="00956BA2">
        <w:rPr>
          <w:rFonts w:cstheme="minorHAnsi"/>
        </w:rPr>
        <w:t>minors</w:t>
      </w:r>
      <w:r w:rsidR="00F9541F" w:rsidRPr="00956BA2">
        <w:rPr>
          <w:rFonts w:cstheme="minorHAnsi"/>
        </w:rPr>
        <w:t xml:space="preserve"> perceived to be and</w:t>
      </w:r>
      <w:r w:rsidR="004A17A7" w:rsidRPr="00956BA2">
        <w:rPr>
          <w:rFonts w:cstheme="minorHAnsi"/>
        </w:rPr>
        <w:t xml:space="preserve"> </w:t>
      </w:r>
      <w:r w:rsidR="00F9541F" w:rsidRPr="00956BA2">
        <w:rPr>
          <w:rFonts w:cstheme="minorHAnsi"/>
        </w:rPr>
        <w:t>treated as adults</w:t>
      </w:r>
      <w:r w:rsidR="00942F9C" w:rsidRPr="00956BA2">
        <w:rPr>
          <w:rFonts w:cstheme="minorHAnsi"/>
        </w:rPr>
        <w:t xml:space="preserve">, can result in </w:t>
      </w:r>
      <w:r w:rsidR="00D24514" w:rsidRPr="00956BA2">
        <w:rPr>
          <w:rFonts w:cstheme="minorHAnsi"/>
        </w:rPr>
        <w:t xml:space="preserve">their </w:t>
      </w:r>
      <w:r w:rsidR="00942F9C" w:rsidRPr="00956BA2">
        <w:rPr>
          <w:rFonts w:cstheme="minorHAnsi"/>
        </w:rPr>
        <w:t>criminalisation, trauma</w:t>
      </w:r>
      <w:r w:rsidR="006570F9" w:rsidRPr="00956BA2">
        <w:rPr>
          <w:rFonts w:cstheme="minorHAnsi"/>
        </w:rPr>
        <w:t>, and more tragic outcomes.</w:t>
      </w:r>
      <w:r w:rsidR="005C0614" w:rsidRPr="00956BA2">
        <w:rPr>
          <w:rFonts w:cstheme="minorHAnsi"/>
        </w:rPr>
        <w:t xml:space="preserve"> </w:t>
      </w:r>
      <w:r w:rsidR="004632BC" w:rsidRPr="00956BA2">
        <w:rPr>
          <w:rFonts w:cstheme="minorHAnsi"/>
        </w:rPr>
        <w:t xml:space="preserve">For example, </w:t>
      </w:r>
      <w:r w:rsidR="007149BA" w:rsidRPr="00956BA2">
        <w:rPr>
          <w:rFonts w:cstheme="minorHAnsi"/>
        </w:rPr>
        <w:t>i</w:t>
      </w:r>
      <w:r w:rsidR="005C0614" w:rsidRPr="00956BA2">
        <w:rPr>
          <w:rFonts w:cstheme="minorHAnsi"/>
        </w:rPr>
        <w:t>n the case of Child Q</w:t>
      </w:r>
      <w:r w:rsidR="00F40D3D" w:rsidRPr="00956BA2">
        <w:rPr>
          <w:rFonts w:cstheme="minorHAnsi"/>
        </w:rPr>
        <w:t>,</w:t>
      </w:r>
      <w:r w:rsidR="00F9541F" w:rsidRPr="00956BA2">
        <w:rPr>
          <w:rFonts w:cstheme="minorHAnsi"/>
        </w:rPr>
        <w:t xml:space="preserve"> </w:t>
      </w:r>
    </w:p>
    <w:p w14:paraId="22DA4DAF" w14:textId="5A4D54C3" w:rsidR="007D2AB1" w:rsidRPr="00956BA2" w:rsidRDefault="00370482" w:rsidP="00700D77">
      <w:pPr>
        <w:spacing w:line="360" w:lineRule="auto"/>
        <w:ind w:left="510" w:right="510"/>
        <w:jc w:val="both"/>
        <w:rPr>
          <w:rFonts w:cstheme="minorHAnsi"/>
        </w:rPr>
      </w:pPr>
      <w:r w:rsidRPr="00956BA2">
        <w:rPr>
          <w:rFonts w:cstheme="minorHAnsi"/>
          <w:color w:val="0B0C0C"/>
        </w:rPr>
        <w:t>“</w:t>
      </w:r>
      <w:r w:rsidR="002F2B08" w:rsidRPr="00956BA2">
        <w:rPr>
          <w:rFonts w:cstheme="minorHAnsi"/>
          <w:color w:val="0B0C0C"/>
        </w:rPr>
        <w:t>Racism</w:t>
      </w:r>
      <w:r w:rsidRPr="00956BA2">
        <w:rPr>
          <w:rFonts w:cstheme="minorHAnsi"/>
          <w:color w:val="0B0C0C"/>
        </w:rPr>
        <w:t xml:space="preserve"> was likely to have been a factor in the decisions taken on the day in question. This is stark reminder to us that the experience of Black children in London can be very different to that of their white peers and therefore we must re-double our efforts to call out racism and continue to strive for anti-racist practices across all the agencies responsible for our children’s safety, education, and care</w:t>
      </w:r>
      <w:r w:rsidR="00FF3207" w:rsidRPr="00956BA2">
        <w:rPr>
          <w:rFonts w:cstheme="minorHAnsi"/>
          <w:color w:val="0B0C0C"/>
        </w:rPr>
        <w:t>,” (</w:t>
      </w:r>
      <w:r w:rsidR="00854B27" w:rsidRPr="00956BA2">
        <w:rPr>
          <w:rFonts w:cstheme="minorHAnsi"/>
          <w:color w:val="0B0C0C"/>
        </w:rPr>
        <w:t>Camden Newsroom</w:t>
      </w:r>
      <w:r w:rsidR="0010150B" w:rsidRPr="00956BA2">
        <w:rPr>
          <w:rFonts w:cstheme="minorHAnsi"/>
          <w:color w:val="0B0C0C"/>
        </w:rPr>
        <w:t>, 2020)</w:t>
      </w:r>
      <w:r w:rsidRPr="00956BA2">
        <w:rPr>
          <w:rFonts w:cstheme="minorHAnsi"/>
          <w:color w:val="0B0C0C"/>
        </w:rPr>
        <w:t>.</w:t>
      </w:r>
      <w:r w:rsidRPr="00956BA2">
        <w:rPr>
          <w:rFonts w:cstheme="minorHAnsi"/>
        </w:rPr>
        <w:t xml:space="preserve"> </w:t>
      </w:r>
    </w:p>
    <w:p w14:paraId="1B6DF38E" w14:textId="77777777" w:rsidR="00130C47" w:rsidRPr="00956BA2" w:rsidRDefault="00130C47" w:rsidP="008D0528">
      <w:pPr>
        <w:spacing w:line="360" w:lineRule="auto"/>
        <w:jc w:val="both"/>
        <w:rPr>
          <w:rFonts w:cstheme="minorHAnsi"/>
        </w:rPr>
      </w:pPr>
    </w:p>
    <w:p w14:paraId="0DF5D215" w14:textId="76BFC909" w:rsidR="00C239F7" w:rsidRPr="00956BA2" w:rsidRDefault="00361C19" w:rsidP="008D0528">
      <w:pPr>
        <w:spacing w:line="360" w:lineRule="auto"/>
        <w:jc w:val="both"/>
        <w:rPr>
          <w:rFonts w:cstheme="minorHAnsi"/>
        </w:rPr>
      </w:pPr>
      <w:r w:rsidRPr="00956BA2">
        <w:rPr>
          <w:rFonts w:cstheme="minorHAnsi"/>
        </w:rPr>
        <w:t>Similarly</w:t>
      </w:r>
      <w:r w:rsidR="00FF3207" w:rsidRPr="00956BA2">
        <w:rPr>
          <w:rFonts w:cstheme="minorHAnsi"/>
        </w:rPr>
        <w:t xml:space="preserve">, infantilism </w:t>
      </w:r>
      <w:r w:rsidR="008F6B69" w:rsidRPr="00956BA2">
        <w:rPr>
          <w:rFonts w:cstheme="minorHAnsi"/>
        </w:rPr>
        <w:t>is a common</w:t>
      </w:r>
      <w:r w:rsidR="003B1FB4" w:rsidRPr="00956BA2">
        <w:rPr>
          <w:rFonts w:cstheme="minorHAnsi"/>
        </w:rPr>
        <w:t>ly</w:t>
      </w:r>
      <w:r w:rsidR="008F6B69" w:rsidRPr="00956BA2">
        <w:rPr>
          <w:rFonts w:cstheme="minorHAnsi"/>
        </w:rPr>
        <w:t xml:space="preserve"> </w:t>
      </w:r>
      <w:r w:rsidR="00355379" w:rsidRPr="00956BA2">
        <w:rPr>
          <w:rFonts w:cstheme="minorHAnsi"/>
        </w:rPr>
        <w:t>used by</w:t>
      </w:r>
      <w:r w:rsidR="00645E1B" w:rsidRPr="00956BA2">
        <w:rPr>
          <w:rFonts w:cstheme="minorHAnsi"/>
        </w:rPr>
        <w:t xml:space="preserve"> </w:t>
      </w:r>
      <w:r w:rsidR="00355379" w:rsidRPr="00956BA2">
        <w:rPr>
          <w:rFonts w:cstheme="minorHAnsi"/>
        </w:rPr>
        <w:t>White supremac</w:t>
      </w:r>
      <w:r w:rsidR="00EB75FE" w:rsidRPr="00956BA2">
        <w:rPr>
          <w:rFonts w:cstheme="minorHAnsi"/>
        </w:rPr>
        <w:t>ist</w:t>
      </w:r>
      <w:r w:rsidR="003B1FB4" w:rsidRPr="00956BA2">
        <w:rPr>
          <w:rFonts w:cstheme="minorHAnsi"/>
        </w:rPr>
        <w:t>s</w:t>
      </w:r>
      <w:r w:rsidR="00EB75FE" w:rsidRPr="00956BA2">
        <w:rPr>
          <w:rFonts w:cstheme="minorHAnsi"/>
        </w:rPr>
        <w:t xml:space="preserve"> </w:t>
      </w:r>
      <w:r w:rsidR="008F6B69" w:rsidRPr="00956BA2">
        <w:rPr>
          <w:rFonts w:cstheme="minorHAnsi"/>
        </w:rPr>
        <w:t>to racially discriminat</w:t>
      </w:r>
      <w:r w:rsidR="00EB75FE" w:rsidRPr="00956BA2">
        <w:rPr>
          <w:rFonts w:cstheme="minorHAnsi"/>
        </w:rPr>
        <w:t xml:space="preserve">e </w:t>
      </w:r>
      <w:r w:rsidR="0069121B" w:rsidRPr="00956BA2">
        <w:rPr>
          <w:rFonts w:cstheme="minorHAnsi"/>
        </w:rPr>
        <w:t xml:space="preserve">in </w:t>
      </w:r>
      <w:r w:rsidR="00BB60B3" w:rsidRPr="00956BA2">
        <w:rPr>
          <w:rFonts w:cstheme="minorHAnsi"/>
        </w:rPr>
        <w:t>realising universal human rights</w:t>
      </w:r>
      <w:r w:rsidR="007149BA" w:rsidRPr="00956BA2">
        <w:rPr>
          <w:rFonts w:cstheme="minorHAnsi"/>
        </w:rPr>
        <w:t xml:space="preserve"> equally, generally, and globally</w:t>
      </w:r>
      <w:r w:rsidR="00130C47" w:rsidRPr="00956BA2">
        <w:rPr>
          <w:rFonts w:cstheme="minorHAnsi"/>
        </w:rPr>
        <w:t xml:space="preserve">. </w:t>
      </w:r>
      <w:r w:rsidR="00A41A38" w:rsidRPr="00956BA2">
        <w:rPr>
          <w:rFonts w:cstheme="minorHAnsi"/>
        </w:rPr>
        <w:t>The regularity of</w:t>
      </w:r>
      <w:r w:rsidR="00CE50BD" w:rsidRPr="00956BA2">
        <w:rPr>
          <w:rFonts w:cstheme="minorHAnsi"/>
        </w:rPr>
        <w:t xml:space="preserve"> racist macro and microaggressions </w:t>
      </w:r>
      <w:r w:rsidR="001E2F54" w:rsidRPr="00956BA2">
        <w:rPr>
          <w:rFonts w:cstheme="minorHAnsi"/>
        </w:rPr>
        <w:t>contribute</w:t>
      </w:r>
      <w:r w:rsidR="00A41A38" w:rsidRPr="00956BA2">
        <w:rPr>
          <w:rFonts w:cstheme="minorHAnsi"/>
        </w:rPr>
        <w:t>s</w:t>
      </w:r>
      <w:r w:rsidR="001E2F54" w:rsidRPr="00956BA2">
        <w:rPr>
          <w:rFonts w:cstheme="minorHAnsi"/>
        </w:rPr>
        <w:t xml:space="preserve"> to </w:t>
      </w:r>
      <w:r w:rsidR="00A41A38" w:rsidRPr="00956BA2">
        <w:rPr>
          <w:rFonts w:cstheme="minorHAnsi"/>
        </w:rPr>
        <w:t>poorer mental and physical</w:t>
      </w:r>
      <w:r w:rsidR="00BB5091" w:rsidRPr="00956BA2">
        <w:rPr>
          <w:rFonts w:cstheme="minorHAnsi"/>
        </w:rPr>
        <w:t xml:space="preserve"> health</w:t>
      </w:r>
      <w:r w:rsidR="00A41A38" w:rsidRPr="00956BA2">
        <w:rPr>
          <w:rFonts w:cstheme="minorHAnsi"/>
        </w:rPr>
        <w:t xml:space="preserve"> outcomes for </w:t>
      </w:r>
      <w:proofErr w:type="spellStart"/>
      <w:r w:rsidR="00BB5091" w:rsidRPr="00956BA2">
        <w:rPr>
          <w:rFonts w:cstheme="minorHAnsi"/>
        </w:rPr>
        <w:t>Afrikans</w:t>
      </w:r>
      <w:proofErr w:type="spellEnd"/>
      <w:r w:rsidR="00BB5091" w:rsidRPr="00956BA2">
        <w:rPr>
          <w:rFonts w:cstheme="minorHAnsi"/>
        </w:rPr>
        <w:t xml:space="preserve"> in the Global North. </w:t>
      </w:r>
      <w:r w:rsidR="00645E1B" w:rsidRPr="00956BA2">
        <w:rPr>
          <w:rFonts w:cstheme="minorHAnsi"/>
        </w:rPr>
        <w:t xml:space="preserve">With this in mind, </w:t>
      </w:r>
      <w:r w:rsidR="00B37F4A" w:rsidRPr="00956BA2">
        <w:rPr>
          <w:rFonts w:cstheme="minorHAnsi"/>
        </w:rPr>
        <w:t xml:space="preserve">Res. </w:t>
      </w:r>
      <w:r w:rsidR="00DD5510" w:rsidRPr="00956BA2">
        <w:rPr>
          <w:rFonts w:cstheme="minorHAnsi"/>
        </w:rPr>
        <w:t>A/HRC/47/53</w:t>
      </w:r>
      <w:r w:rsidR="007A697A" w:rsidRPr="00956BA2">
        <w:rPr>
          <w:rFonts w:cstheme="minorHAnsi"/>
        </w:rPr>
        <w:t>’s</w:t>
      </w:r>
      <w:r w:rsidR="00DD5510" w:rsidRPr="00956BA2">
        <w:rPr>
          <w:rFonts w:cstheme="minorHAnsi"/>
        </w:rPr>
        <w:t xml:space="preserve"> </w:t>
      </w:r>
      <w:r w:rsidR="00DD5510" w:rsidRPr="00956BA2">
        <w:rPr>
          <w:rFonts w:cstheme="minorHAnsi"/>
          <w:i/>
          <w:iCs/>
        </w:rPr>
        <w:t>Four-point Agenda</w:t>
      </w:r>
      <w:r w:rsidR="00DD5510" w:rsidRPr="00956BA2">
        <w:rPr>
          <w:rFonts w:cstheme="minorHAnsi"/>
        </w:rPr>
        <w:t xml:space="preserve"> admonishes state parties</w:t>
      </w:r>
      <w:r w:rsidR="00D24514" w:rsidRPr="00956BA2">
        <w:rPr>
          <w:rFonts w:cstheme="minorHAnsi"/>
        </w:rPr>
        <w:t xml:space="preserve">, civil </w:t>
      </w:r>
      <w:r w:rsidR="004663A6" w:rsidRPr="00956BA2">
        <w:rPr>
          <w:rFonts w:cstheme="minorHAnsi"/>
        </w:rPr>
        <w:t>society, and</w:t>
      </w:r>
      <w:r w:rsidR="00DD5510" w:rsidRPr="00956BA2">
        <w:rPr>
          <w:rFonts w:cstheme="minorHAnsi"/>
        </w:rPr>
        <w:t xml:space="preserve"> other stakeholders </w:t>
      </w:r>
      <w:r w:rsidR="00B351C8" w:rsidRPr="00956BA2">
        <w:rPr>
          <w:rFonts w:cstheme="minorHAnsi"/>
        </w:rPr>
        <w:t>to</w:t>
      </w:r>
      <w:r w:rsidR="007A697A" w:rsidRPr="00956BA2">
        <w:rPr>
          <w:rFonts w:cstheme="minorHAnsi"/>
        </w:rPr>
        <w:t xml:space="preserve"> </w:t>
      </w:r>
      <w:r w:rsidR="00B351C8" w:rsidRPr="00371551">
        <w:rPr>
          <w:rFonts w:cstheme="minorHAnsi"/>
          <w:i/>
          <w:iCs/>
        </w:rPr>
        <w:t>s</w:t>
      </w:r>
      <w:r w:rsidR="00DD5510" w:rsidRPr="00371551">
        <w:rPr>
          <w:rFonts w:cstheme="minorHAnsi"/>
          <w:i/>
          <w:iCs/>
        </w:rPr>
        <w:t xml:space="preserve">tep </w:t>
      </w:r>
      <w:r w:rsidR="007A697A" w:rsidRPr="00371551">
        <w:rPr>
          <w:rFonts w:cstheme="minorHAnsi"/>
          <w:i/>
          <w:iCs/>
        </w:rPr>
        <w:t>u</w:t>
      </w:r>
      <w:r w:rsidR="00DD5510" w:rsidRPr="00371551">
        <w:rPr>
          <w:rFonts w:cstheme="minorHAnsi"/>
          <w:i/>
          <w:iCs/>
        </w:rPr>
        <w:t>p</w:t>
      </w:r>
      <w:r w:rsidR="00DD5510" w:rsidRPr="00956BA2">
        <w:rPr>
          <w:rFonts w:cstheme="minorHAnsi"/>
        </w:rPr>
        <w:t xml:space="preserve"> and begin the journey towards racial justice and equality</w:t>
      </w:r>
      <w:r w:rsidR="00B17D59" w:rsidRPr="00956BA2">
        <w:rPr>
          <w:rFonts w:cstheme="minorHAnsi"/>
        </w:rPr>
        <w:t xml:space="preserve"> throughout society</w:t>
      </w:r>
      <w:r w:rsidR="00DD5510" w:rsidRPr="00956BA2">
        <w:rPr>
          <w:rFonts w:cstheme="minorHAnsi"/>
        </w:rPr>
        <w:t>, by stopping denial and beginning to dismantle structures, institutions and behaviours</w:t>
      </w:r>
      <w:r w:rsidR="00C82CD1" w:rsidRPr="00956BA2">
        <w:rPr>
          <w:rFonts w:cstheme="minorHAnsi"/>
        </w:rPr>
        <w:t xml:space="preserve"> that uphold</w:t>
      </w:r>
      <w:r w:rsidR="00DD5510" w:rsidRPr="00956BA2">
        <w:rPr>
          <w:rFonts w:cstheme="minorHAnsi"/>
        </w:rPr>
        <w:t xml:space="preserve"> </w:t>
      </w:r>
      <w:r w:rsidR="00D9122A" w:rsidRPr="00956BA2">
        <w:rPr>
          <w:rFonts w:cstheme="minorHAnsi"/>
        </w:rPr>
        <w:t>Afrophobia</w:t>
      </w:r>
      <w:r w:rsidR="00DD5510" w:rsidRPr="00956BA2">
        <w:rPr>
          <w:rFonts w:cstheme="minorHAnsi"/>
        </w:rPr>
        <w:t xml:space="preserve">. </w:t>
      </w:r>
    </w:p>
    <w:p w14:paraId="18BBD5DA" w14:textId="7985680E" w:rsidR="00C14518" w:rsidRPr="00956BA2" w:rsidRDefault="00DD5510" w:rsidP="008D0528">
      <w:pPr>
        <w:spacing w:line="360" w:lineRule="auto"/>
        <w:jc w:val="both"/>
        <w:rPr>
          <w:rFonts w:cstheme="minorHAnsi"/>
        </w:rPr>
      </w:pPr>
      <w:r w:rsidRPr="00956BA2">
        <w:rPr>
          <w:rFonts w:cstheme="minorHAnsi"/>
        </w:rPr>
        <w:t xml:space="preserve"> </w:t>
      </w:r>
    </w:p>
    <w:p w14:paraId="0FBB9E9D" w14:textId="6BE980A3" w:rsidR="00A06FAA" w:rsidRPr="00956BA2" w:rsidRDefault="00DE6142" w:rsidP="00A06FAA">
      <w:pPr>
        <w:spacing w:line="360" w:lineRule="auto"/>
        <w:ind w:right="510"/>
        <w:jc w:val="both"/>
        <w:rPr>
          <w:rFonts w:cstheme="minorHAnsi"/>
          <w:color w:val="666666"/>
          <w:shd w:val="clear" w:color="auto" w:fill="FFFFFF"/>
        </w:rPr>
      </w:pPr>
      <w:r w:rsidRPr="00956BA2">
        <w:rPr>
          <w:rFonts w:cstheme="minorHAnsi"/>
          <w:color w:val="666666"/>
          <w:shd w:val="clear" w:color="auto" w:fill="FFFFFF"/>
        </w:rPr>
        <w:lastRenderedPageBreak/>
        <w:t>Important</w:t>
      </w:r>
      <w:r w:rsidR="00A06FAA" w:rsidRPr="00956BA2">
        <w:rPr>
          <w:rFonts w:cstheme="minorHAnsi"/>
          <w:color w:val="666666"/>
          <w:shd w:val="clear" w:color="auto" w:fill="FFFFFF"/>
        </w:rPr>
        <w:t>ly,</w:t>
      </w:r>
    </w:p>
    <w:p w14:paraId="3B0027C2" w14:textId="4F59CFA9" w:rsidR="00C14518" w:rsidRPr="00956BA2" w:rsidRDefault="00351B12" w:rsidP="00C14518">
      <w:pPr>
        <w:spacing w:line="360" w:lineRule="auto"/>
        <w:ind w:left="510" w:right="510"/>
        <w:jc w:val="both"/>
        <w:rPr>
          <w:rFonts w:cstheme="minorHAnsi"/>
        </w:rPr>
      </w:pPr>
      <w:r w:rsidRPr="00956BA2">
        <w:rPr>
          <w:rFonts w:cstheme="minorHAnsi"/>
          <w:color w:val="666666"/>
          <w:shd w:val="clear" w:color="auto" w:fill="FFFFFF"/>
        </w:rPr>
        <w:t>“Histories of injustices against Africans and people of African descent, including enslavement, forced labour, racial apartheid, massacres, and genocides in the context of European colonialism and the transatlantic slave trade, remain largely unrecognised and unaccounted for at an institutional level in the Member States</w:t>
      </w:r>
      <w:r w:rsidR="00211622" w:rsidRPr="00956BA2">
        <w:rPr>
          <w:rFonts w:cstheme="minorHAnsi"/>
          <w:color w:val="666666"/>
          <w:shd w:val="clear" w:color="auto" w:fill="FFFFFF"/>
        </w:rPr>
        <w:t>,</w:t>
      </w:r>
      <w:r w:rsidRPr="00956BA2">
        <w:rPr>
          <w:rFonts w:cstheme="minorHAnsi"/>
          <w:color w:val="666666"/>
          <w:shd w:val="clear" w:color="auto" w:fill="FFFFFF"/>
        </w:rPr>
        <w:t>” (European Parliament, 2019)</w:t>
      </w:r>
      <w:r w:rsidR="00524540" w:rsidRPr="00956BA2">
        <w:rPr>
          <w:rFonts w:cstheme="minorHAnsi"/>
          <w:color w:val="666666"/>
          <w:shd w:val="clear" w:color="auto" w:fill="FFFFFF"/>
        </w:rPr>
        <w:t>.</w:t>
      </w:r>
      <w:r w:rsidR="003E5204" w:rsidRPr="00956BA2">
        <w:rPr>
          <w:rFonts w:cstheme="minorHAnsi"/>
        </w:rPr>
        <w:t xml:space="preserve"> </w:t>
      </w:r>
    </w:p>
    <w:p w14:paraId="754CA244" w14:textId="16C3D5B8" w:rsidR="004A17A7" w:rsidRPr="00956BA2" w:rsidRDefault="00C03AD6" w:rsidP="00A41E6E">
      <w:pPr>
        <w:spacing w:line="360" w:lineRule="auto"/>
        <w:jc w:val="both"/>
        <w:rPr>
          <w:rFonts w:cstheme="minorHAnsi"/>
        </w:rPr>
      </w:pPr>
      <w:r w:rsidRPr="00956BA2">
        <w:rPr>
          <w:rFonts w:cstheme="minorHAnsi"/>
          <w:color w:val="000000"/>
        </w:rPr>
        <w:t>T</w:t>
      </w:r>
      <w:r w:rsidR="00D4372F" w:rsidRPr="00956BA2">
        <w:rPr>
          <w:rFonts w:cstheme="minorHAnsi"/>
          <w:color w:val="000000"/>
        </w:rPr>
        <w:t xml:space="preserve">he historical context </w:t>
      </w:r>
      <w:r w:rsidR="009926D3" w:rsidRPr="00956BA2">
        <w:rPr>
          <w:rFonts w:cstheme="minorHAnsi"/>
          <w:color w:val="000000"/>
        </w:rPr>
        <w:t>with</w:t>
      </w:r>
      <w:r w:rsidR="00D4372F" w:rsidRPr="00956BA2">
        <w:rPr>
          <w:rFonts w:cstheme="minorHAnsi"/>
          <w:color w:val="000000"/>
        </w:rPr>
        <w:t xml:space="preserve">in which </w:t>
      </w:r>
      <w:r w:rsidR="00D4372F" w:rsidRPr="00956BA2">
        <w:rPr>
          <w:rFonts w:cstheme="minorHAnsi"/>
          <w:i/>
          <w:iCs/>
          <w:color w:val="000000"/>
        </w:rPr>
        <w:t>race</w:t>
      </w:r>
      <w:r w:rsidR="00D4372F" w:rsidRPr="00956BA2">
        <w:rPr>
          <w:rFonts w:cstheme="minorHAnsi"/>
          <w:color w:val="000000"/>
        </w:rPr>
        <w:t xml:space="preserve"> as a social construct was derived</w:t>
      </w:r>
      <w:r w:rsidRPr="00956BA2">
        <w:rPr>
          <w:rFonts w:cstheme="minorHAnsi"/>
          <w:color w:val="000000"/>
        </w:rPr>
        <w:t xml:space="preserve"> must therefore be articulated</w:t>
      </w:r>
      <w:r w:rsidR="009131DC" w:rsidRPr="00956BA2">
        <w:rPr>
          <w:rFonts w:cstheme="minorHAnsi"/>
          <w:color w:val="000000"/>
        </w:rPr>
        <w:t xml:space="preserve"> in </w:t>
      </w:r>
      <w:r w:rsidR="003C4747" w:rsidRPr="00956BA2">
        <w:rPr>
          <w:rFonts w:cstheme="minorHAnsi"/>
          <w:color w:val="000000"/>
        </w:rPr>
        <w:t>relation to</w:t>
      </w:r>
      <w:r w:rsidR="009131DC" w:rsidRPr="00956BA2">
        <w:rPr>
          <w:rFonts w:cstheme="minorHAnsi"/>
          <w:color w:val="000000"/>
        </w:rPr>
        <w:t xml:space="preserve"> IDPAD’s </w:t>
      </w:r>
      <w:r w:rsidR="0083207A" w:rsidRPr="00956BA2">
        <w:rPr>
          <w:rFonts w:cstheme="minorHAnsi"/>
          <w:color w:val="000000"/>
        </w:rPr>
        <w:t xml:space="preserve">thematic objective of </w:t>
      </w:r>
      <w:r w:rsidR="0083207A" w:rsidRPr="00956BA2">
        <w:rPr>
          <w:rFonts w:cstheme="minorHAnsi"/>
          <w:b/>
          <w:bCs/>
          <w:color w:val="000000"/>
        </w:rPr>
        <w:t>recognition</w:t>
      </w:r>
      <w:r w:rsidR="00D4372F" w:rsidRPr="00956BA2">
        <w:rPr>
          <w:rFonts w:cstheme="minorHAnsi"/>
          <w:color w:val="000000"/>
        </w:rPr>
        <w:t xml:space="preserve">. </w:t>
      </w:r>
      <w:r w:rsidR="002D35A3" w:rsidRPr="00956BA2">
        <w:rPr>
          <w:rFonts w:cstheme="minorHAnsi"/>
          <w:color w:val="000000"/>
        </w:rPr>
        <w:t>R</w:t>
      </w:r>
      <w:r w:rsidR="00D4372F" w:rsidRPr="00956BA2">
        <w:rPr>
          <w:rFonts w:cstheme="minorHAnsi"/>
          <w:color w:val="000000"/>
        </w:rPr>
        <w:t xml:space="preserve">acial hierarchies were used </w:t>
      </w:r>
      <w:r w:rsidR="007561CE" w:rsidRPr="00956BA2">
        <w:rPr>
          <w:rFonts w:cstheme="minorHAnsi"/>
          <w:color w:val="000000"/>
        </w:rPr>
        <w:t xml:space="preserve">by European colonisers </w:t>
      </w:r>
      <w:r w:rsidR="00D4372F" w:rsidRPr="00956BA2">
        <w:rPr>
          <w:rFonts w:cstheme="minorHAnsi"/>
          <w:color w:val="000000"/>
        </w:rPr>
        <w:t xml:space="preserve">to justify and legitimize enslavement of </w:t>
      </w:r>
      <w:proofErr w:type="spellStart"/>
      <w:r w:rsidR="00D4372F" w:rsidRPr="00956BA2">
        <w:rPr>
          <w:rFonts w:cstheme="minorHAnsi"/>
          <w:color w:val="000000"/>
        </w:rPr>
        <w:t>Afri</w:t>
      </w:r>
      <w:r w:rsidR="004735E5">
        <w:rPr>
          <w:rFonts w:cstheme="minorHAnsi"/>
          <w:color w:val="000000"/>
        </w:rPr>
        <w:t>k</w:t>
      </w:r>
      <w:r w:rsidR="00D4372F" w:rsidRPr="00956BA2">
        <w:rPr>
          <w:rFonts w:cstheme="minorHAnsi"/>
          <w:color w:val="000000"/>
        </w:rPr>
        <w:t>ans</w:t>
      </w:r>
      <w:proofErr w:type="spellEnd"/>
      <w:r w:rsidR="00D4372F" w:rsidRPr="00956BA2">
        <w:rPr>
          <w:rFonts w:cstheme="minorHAnsi"/>
          <w:color w:val="000000"/>
        </w:rPr>
        <w:t xml:space="preserve"> from the </w:t>
      </w:r>
      <w:r w:rsidR="0020316D" w:rsidRPr="00956BA2">
        <w:rPr>
          <w:rFonts w:cstheme="minorHAnsi"/>
          <w:color w:val="000000"/>
        </w:rPr>
        <w:t>16</w:t>
      </w:r>
      <w:r w:rsidR="0020316D" w:rsidRPr="00956BA2">
        <w:rPr>
          <w:rFonts w:cstheme="minorHAnsi"/>
          <w:color w:val="000000"/>
          <w:vertAlign w:val="superscript"/>
        </w:rPr>
        <w:t>th</w:t>
      </w:r>
      <w:r w:rsidR="00D4372F" w:rsidRPr="00956BA2">
        <w:rPr>
          <w:rFonts w:cstheme="minorHAnsi"/>
          <w:color w:val="000000"/>
        </w:rPr>
        <w:t xml:space="preserve"> century onwards. White supremacist scientific and later sociological ideologies argued </w:t>
      </w:r>
      <w:proofErr w:type="spellStart"/>
      <w:r w:rsidR="00D4372F" w:rsidRPr="00956BA2">
        <w:rPr>
          <w:rFonts w:cstheme="minorHAnsi"/>
          <w:color w:val="000000"/>
        </w:rPr>
        <w:t>AfriKans</w:t>
      </w:r>
      <w:proofErr w:type="spellEnd"/>
      <w:r w:rsidR="00D4372F" w:rsidRPr="00956BA2">
        <w:rPr>
          <w:rFonts w:cstheme="minorHAnsi"/>
          <w:color w:val="000000"/>
        </w:rPr>
        <w:t xml:space="preserve"> were physically, mentally, and morally inferior to other ethnicities, an</w:t>
      </w:r>
      <w:r w:rsidR="0038422E" w:rsidRPr="00956BA2">
        <w:rPr>
          <w:rFonts w:cstheme="minorHAnsi"/>
          <w:color w:val="000000"/>
        </w:rPr>
        <w:t>d this was used</w:t>
      </w:r>
      <w:r w:rsidR="00D4372F" w:rsidRPr="00956BA2">
        <w:rPr>
          <w:rFonts w:cstheme="minorHAnsi"/>
          <w:color w:val="000000"/>
        </w:rPr>
        <w:t xml:space="preserve"> as ideological and legal bas</w:t>
      </w:r>
      <w:r w:rsidR="00565C75" w:rsidRPr="00956BA2">
        <w:rPr>
          <w:rFonts w:cstheme="minorHAnsi"/>
          <w:color w:val="000000"/>
        </w:rPr>
        <w:t>e</w:t>
      </w:r>
      <w:r w:rsidR="00D4372F" w:rsidRPr="00956BA2">
        <w:rPr>
          <w:rFonts w:cstheme="minorHAnsi"/>
          <w:color w:val="000000"/>
        </w:rPr>
        <w:t>s for</w:t>
      </w:r>
      <w:r w:rsidR="00CF07BE" w:rsidRPr="00956BA2">
        <w:rPr>
          <w:rFonts w:cstheme="minorHAnsi"/>
          <w:color w:val="000000"/>
        </w:rPr>
        <w:t xml:space="preserve"> </w:t>
      </w:r>
      <w:r w:rsidR="00D4372F" w:rsidRPr="00956BA2">
        <w:rPr>
          <w:rFonts w:cstheme="minorHAnsi"/>
          <w:color w:val="000000"/>
        </w:rPr>
        <w:t xml:space="preserve">capitalistic overexploitation of enslaved and colonised </w:t>
      </w:r>
      <w:proofErr w:type="spellStart"/>
      <w:r w:rsidR="00D4372F" w:rsidRPr="00956BA2">
        <w:rPr>
          <w:rFonts w:cstheme="minorHAnsi"/>
          <w:color w:val="000000"/>
        </w:rPr>
        <w:t>Afri</w:t>
      </w:r>
      <w:r w:rsidR="00EE554D" w:rsidRPr="00956BA2">
        <w:rPr>
          <w:rFonts w:cstheme="minorHAnsi"/>
          <w:color w:val="000000"/>
        </w:rPr>
        <w:t>K</w:t>
      </w:r>
      <w:r w:rsidR="00D4372F" w:rsidRPr="00956BA2">
        <w:rPr>
          <w:rFonts w:cstheme="minorHAnsi"/>
          <w:color w:val="000000"/>
        </w:rPr>
        <w:t>ans</w:t>
      </w:r>
      <w:proofErr w:type="spellEnd"/>
      <w:r w:rsidR="00D4372F" w:rsidRPr="00956BA2">
        <w:rPr>
          <w:rFonts w:cstheme="minorHAnsi"/>
          <w:color w:val="000000"/>
        </w:rPr>
        <w:t>.</w:t>
      </w:r>
      <w:r w:rsidR="00487165" w:rsidRPr="00956BA2">
        <w:rPr>
          <w:rFonts w:cstheme="minorHAnsi"/>
        </w:rPr>
        <w:t xml:space="preserve"> </w:t>
      </w:r>
    </w:p>
    <w:p w14:paraId="1805ED87" w14:textId="6DC530F7" w:rsidR="00795483" w:rsidRPr="00956BA2" w:rsidRDefault="00AC3C3B" w:rsidP="00A41E6E">
      <w:pPr>
        <w:spacing w:line="360" w:lineRule="auto"/>
        <w:jc w:val="both"/>
        <w:rPr>
          <w:rFonts w:cstheme="minorHAnsi"/>
        </w:rPr>
      </w:pPr>
      <w:r>
        <w:rPr>
          <w:rFonts w:cstheme="minorHAnsi"/>
        </w:rPr>
        <w:t xml:space="preserve"> </w:t>
      </w:r>
    </w:p>
    <w:p w14:paraId="5DEA5AFE" w14:textId="1096531A" w:rsidR="00694CF0" w:rsidRPr="00956BA2" w:rsidRDefault="009F22F4" w:rsidP="00A41E6E">
      <w:pPr>
        <w:spacing w:line="360" w:lineRule="auto"/>
        <w:jc w:val="both"/>
        <w:rPr>
          <w:rFonts w:cstheme="minorHAnsi"/>
        </w:rPr>
      </w:pPr>
      <w:r>
        <w:rPr>
          <w:rFonts w:cstheme="minorHAnsi"/>
        </w:rPr>
        <w:t>T</w:t>
      </w:r>
      <w:r w:rsidR="005B4FAB" w:rsidRPr="00956BA2">
        <w:rPr>
          <w:rFonts w:cstheme="minorHAnsi"/>
        </w:rPr>
        <w:t>he 19</w:t>
      </w:r>
      <w:r w:rsidR="005B4FAB" w:rsidRPr="00956BA2">
        <w:rPr>
          <w:rFonts w:cstheme="minorHAnsi"/>
          <w:vertAlign w:val="superscript"/>
        </w:rPr>
        <w:t>th</w:t>
      </w:r>
      <w:r w:rsidR="005B4FAB" w:rsidRPr="00956BA2">
        <w:rPr>
          <w:rFonts w:cstheme="minorHAnsi"/>
        </w:rPr>
        <w:t xml:space="preserve"> century</w:t>
      </w:r>
      <w:r w:rsidR="00557EE7" w:rsidRPr="00956BA2">
        <w:rPr>
          <w:rFonts w:cstheme="minorHAnsi"/>
        </w:rPr>
        <w:t xml:space="preserve"> Haitian anthropologist Antenor </w:t>
      </w:r>
      <w:r w:rsidR="008B74D1" w:rsidRPr="00956BA2">
        <w:rPr>
          <w:rFonts w:cstheme="minorHAnsi"/>
        </w:rPr>
        <w:t xml:space="preserve">Firmin’s </w:t>
      </w:r>
      <w:r w:rsidR="008B74D1" w:rsidRPr="00956BA2">
        <w:rPr>
          <w:rFonts w:cstheme="minorHAnsi"/>
          <w:i/>
          <w:iCs/>
          <w:color w:val="333333"/>
        </w:rPr>
        <w:t xml:space="preserve">De </w:t>
      </w:r>
      <w:proofErr w:type="spellStart"/>
      <w:r w:rsidR="008B74D1" w:rsidRPr="00956BA2">
        <w:rPr>
          <w:rFonts w:cstheme="minorHAnsi"/>
          <w:i/>
          <w:iCs/>
          <w:color w:val="333333"/>
        </w:rPr>
        <w:t>l’égalité</w:t>
      </w:r>
      <w:proofErr w:type="spellEnd"/>
      <w:r w:rsidR="008B74D1" w:rsidRPr="00956BA2">
        <w:rPr>
          <w:rFonts w:cstheme="minorHAnsi"/>
          <w:i/>
          <w:iCs/>
          <w:color w:val="333333"/>
        </w:rPr>
        <w:t xml:space="preserve"> des races </w:t>
      </w:r>
      <w:proofErr w:type="spellStart"/>
      <w:r w:rsidR="008B74D1" w:rsidRPr="00956BA2">
        <w:rPr>
          <w:rFonts w:cstheme="minorHAnsi"/>
          <w:i/>
          <w:iCs/>
          <w:color w:val="333333"/>
        </w:rPr>
        <w:t>humaines</w:t>
      </w:r>
      <w:proofErr w:type="spellEnd"/>
      <w:r w:rsidR="008B74D1" w:rsidRPr="00956BA2">
        <w:rPr>
          <w:rFonts w:cstheme="minorHAnsi"/>
          <w:color w:val="333333"/>
        </w:rPr>
        <w:t> (1885) challenge</w:t>
      </w:r>
      <w:r w:rsidR="00557EE7" w:rsidRPr="00956BA2">
        <w:rPr>
          <w:rFonts w:cstheme="minorHAnsi"/>
          <w:color w:val="333333"/>
        </w:rPr>
        <w:t>d</w:t>
      </w:r>
      <w:r w:rsidR="008B74D1" w:rsidRPr="00956BA2">
        <w:rPr>
          <w:rFonts w:cstheme="minorHAnsi"/>
          <w:color w:val="333333"/>
        </w:rPr>
        <w:t xml:space="preserve"> European philosophers and scientists’ hierarchies of race based physical, intellectual, and moral capacities, when this was the accepted norm in Europe and the Americas. </w:t>
      </w:r>
      <w:r w:rsidR="009E5FD7" w:rsidRPr="00956BA2">
        <w:rPr>
          <w:rFonts w:cstheme="minorHAnsi"/>
        </w:rPr>
        <w:t>“</w:t>
      </w:r>
      <w:r w:rsidR="009E5FD7" w:rsidRPr="00956BA2">
        <w:rPr>
          <w:rFonts w:cstheme="minorHAnsi"/>
          <w:color w:val="666666"/>
          <w:shd w:val="clear" w:color="auto" w:fill="FFFFFF"/>
        </w:rPr>
        <w:t xml:space="preserve">Discriminatory stereotypes in some traditions across Europe, including the use of blackfacing, perpetuates deeply rooted stereotypes about people of African descent which can exacerbate discrimination” (European Parliament, 2019). </w:t>
      </w:r>
      <w:r w:rsidR="008B74D1" w:rsidRPr="00956BA2">
        <w:rPr>
          <w:rFonts w:cstheme="minorHAnsi"/>
        </w:rPr>
        <w:t xml:space="preserve">Unlike </w:t>
      </w:r>
      <w:r w:rsidR="00462FBC">
        <w:rPr>
          <w:rFonts w:cstheme="minorHAnsi"/>
        </w:rPr>
        <w:t xml:space="preserve">his </w:t>
      </w:r>
      <w:r w:rsidR="00167991">
        <w:rPr>
          <w:rFonts w:cstheme="minorHAnsi"/>
        </w:rPr>
        <w:t xml:space="preserve">fellow </w:t>
      </w:r>
      <w:r w:rsidR="004225A8" w:rsidRPr="00FC0BD7">
        <w:rPr>
          <w:rFonts w:cstheme="minorHAnsi"/>
        </w:rPr>
        <w:t xml:space="preserve">members of the </w:t>
      </w:r>
      <w:proofErr w:type="spellStart"/>
      <w:r w:rsidR="004225A8" w:rsidRPr="00FC0BD7">
        <w:rPr>
          <w:rFonts w:cstheme="minorHAnsi"/>
        </w:rPr>
        <w:t>Sociéte</w:t>
      </w:r>
      <w:proofErr w:type="spellEnd"/>
      <w:r w:rsidR="004225A8" w:rsidRPr="00FC0BD7">
        <w:rPr>
          <w:rFonts w:cstheme="minorHAnsi"/>
        </w:rPr>
        <w:t xml:space="preserve">´ </w:t>
      </w:r>
      <w:proofErr w:type="spellStart"/>
      <w:r w:rsidR="004225A8" w:rsidRPr="00FC0BD7">
        <w:rPr>
          <w:rFonts w:cstheme="minorHAnsi"/>
        </w:rPr>
        <w:t>d’Anthropologie</w:t>
      </w:r>
      <w:proofErr w:type="spellEnd"/>
      <w:r w:rsidR="004225A8" w:rsidRPr="00FC0BD7">
        <w:rPr>
          <w:rFonts w:cstheme="minorHAnsi"/>
        </w:rPr>
        <w:t xml:space="preserve"> de Paris,</w:t>
      </w:r>
      <w:r w:rsidR="008B74D1" w:rsidRPr="00956BA2">
        <w:rPr>
          <w:rFonts w:cstheme="minorHAnsi"/>
        </w:rPr>
        <w:t xml:space="preserve"> who were sympathetic to polygenesis, which theorizes different human species or “races” being created separately, Firmin assert</w:t>
      </w:r>
      <w:r w:rsidR="00E019CB" w:rsidRPr="00956BA2">
        <w:rPr>
          <w:rFonts w:cstheme="minorHAnsi"/>
        </w:rPr>
        <w:t>ed</w:t>
      </w:r>
      <w:r w:rsidR="008B74D1" w:rsidRPr="00956BA2">
        <w:rPr>
          <w:rFonts w:cstheme="minorHAnsi"/>
        </w:rPr>
        <w:t xml:space="preserve"> a singular human species source. </w:t>
      </w:r>
    </w:p>
    <w:p w14:paraId="4CAE127D" w14:textId="77777777" w:rsidR="00727B80" w:rsidRPr="00956BA2" w:rsidRDefault="00727B80" w:rsidP="00A41E6E">
      <w:pPr>
        <w:spacing w:line="360" w:lineRule="auto"/>
        <w:jc w:val="both"/>
        <w:rPr>
          <w:rFonts w:cstheme="minorHAnsi"/>
        </w:rPr>
      </w:pPr>
    </w:p>
    <w:p w14:paraId="2C3B5330" w14:textId="4D81DDF3" w:rsidR="00A41E6E" w:rsidRPr="00956BA2" w:rsidRDefault="00975EA5" w:rsidP="00A41E6E">
      <w:pPr>
        <w:spacing w:line="360" w:lineRule="auto"/>
        <w:jc w:val="both"/>
        <w:rPr>
          <w:rFonts w:cstheme="minorHAnsi"/>
          <w:color w:val="666666"/>
          <w:shd w:val="clear" w:color="auto" w:fill="FFFFFF"/>
        </w:rPr>
      </w:pPr>
      <w:r w:rsidRPr="00956BA2">
        <w:rPr>
          <w:rFonts w:cstheme="minorHAnsi"/>
        </w:rPr>
        <w:t xml:space="preserve">Indubitably </w:t>
      </w:r>
      <w:r w:rsidR="008C3BD7" w:rsidRPr="00956BA2">
        <w:rPr>
          <w:rFonts w:cstheme="minorHAnsi"/>
          <w:color w:val="000000"/>
        </w:rPr>
        <w:t xml:space="preserve">colour-blind policies perpetuate </w:t>
      </w:r>
      <w:r w:rsidR="00685E77">
        <w:rPr>
          <w:rFonts w:cstheme="minorHAnsi"/>
          <w:color w:val="000000"/>
        </w:rPr>
        <w:t xml:space="preserve">racist </w:t>
      </w:r>
      <w:r w:rsidR="008C3BD7" w:rsidRPr="00956BA2">
        <w:rPr>
          <w:rFonts w:cstheme="minorHAnsi"/>
          <w:color w:val="000000"/>
        </w:rPr>
        <w:t>White supremacist ideologies</w:t>
      </w:r>
      <w:r w:rsidR="000910B6">
        <w:rPr>
          <w:rFonts w:cstheme="minorHAnsi"/>
          <w:color w:val="000000"/>
        </w:rPr>
        <w:t xml:space="preserve"> </w:t>
      </w:r>
      <w:r w:rsidR="00394976">
        <w:rPr>
          <w:rFonts w:cstheme="minorHAnsi"/>
          <w:color w:val="000000"/>
        </w:rPr>
        <w:t>in</w:t>
      </w:r>
      <w:r w:rsidR="00E8130D">
        <w:rPr>
          <w:rFonts w:cstheme="minorHAnsi"/>
          <w:color w:val="000000"/>
        </w:rPr>
        <w:t xml:space="preserve"> the </w:t>
      </w:r>
      <w:r w:rsidR="00462FBC">
        <w:rPr>
          <w:rFonts w:cstheme="minorHAnsi"/>
          <w:color w:val="000000"/>
        </w:rPr>
        <w:t>Global North</w:t>
      </w:r>
      <w:r w:rsidR="00394976">
        <w:rPr>
          <w:rFonts w:cstheme="minorHAnsi"/>
          <w:color w:val="000000"/>
        </w:rPr>
        <w:t>,</w:t>
      </w:r>
      <w:r w:rsidR="008C3BD7" w:rsidRPr="00956BA2">
        <w:rPr>
          <w:rFonts w:cstheme="minorHAnsi"/>
          <w:color w:val="000000"/>
        </w:rPr>
        <w:t xml:space="preserve"> whilst failing to acknowledge </w:t>
      </w:r>
      <w:proofErr w:type="spellStart"/>
      <w:r w:rsidR="008C3BD7" w:rsidRPr="00956BA2">
        <w:rPr>
          <w:rFonts w:cstheme="minorHAnsi"/>
          <w:color w:val="000000"/>
        </w:rPr>
        <w:t>Afrikan</w:t>
      </w:r>
      <w:proofErr w:type="spellEnd"/>
      <w:r w:rsidR="008C590D">
        <w:rPr>
          <w:rFonts w:cstheme="minorHAnsi"/>
          <w:color w:val="000000"/>
        </w:rPr>
        <w:t xml:space="preserve"> </w:t>
      </w:r>
      <w:r w:rsidR="008C3BD7" w:rsidRPr="00956BA2">
        <w:rPr>
          <w:rFonts w:cstheme="minorHAnsi"/>
          <w:color w:val="000000"/>
        </w:rPr>
        <w:t>experiences</w:t>
      </w:r>
      <w:r w:rsidR="00A1317B" w:rsidRPr="00956BA2">
        <w:rPr>
          <w:rFonts w:cstheme="minorHAnsi"/>
        </w:rPr>
        <w:t xml:space="preserve"> of cr</w:t>
      </w:r>
      <w:r w:rsidR="00A1317B" w:rsidRPr="00956BA2">
        <w:rPr>
          <w:rFonts w:cstheme="minorHAnsi"/>
          <w:i/>
          <w:iCs/>
        </w:rPr>
        <w:t xml:space="preserve">adle-to-grave </w:t>
      </w:r>
      <w:r w:rsidR="00A1317B" w:rsidRPr="00956BA2">
        <w:rPr>
          <w:rFonts w:cstheme="minorHAnsi"/>
        </w:rPr>
        <w:t xml:space="preserve">macro and microaggressions that contribute to </w:t>
      </w:r>
      <w:proofErr w:type="spellStart"/>
      <w:r w:rsidR="00A1317B" w:rsidRPr="00956BA2">
        <w:rPr>
          <w:rFonts w:cstheme="minorHAnsi"/>
        </w:rPr>
        <w:t>Afriphobia</w:t>
      </w:r>
      <w:proofErr w:type="spellEnd"/>
      <w:r w:rsidR="00A1317B" w:rsidRPr="00956BA2">
        <w:rPr>
          <w:rFonts w:cstheme="minorHAnsi"/>
        </w:rPr>
        <w:t xml:space="preserve">, through disproportionately poor access to </w:t>
      </w:r>
      <w:r w:rsidR="00B661BB" w:rsidRPr="00956BA2">
        <w:rPr>
          <w:rFonts w:cstheme="minorHAnsi"/>
        </w:rPr>
        <w:t>universal human rights</w:t>
      </w:r>
      <w:r w:rsidR="00A1317B" w:rsidRPr="00956BA2">
        <w:rPr>
          <w:rFonts w:cstheme="minorHAnsi"/>
        </w:rPr>
        <w:t>,</w:t>
      </w:r>
      <w:r w:rsidR="008C3BD7" w:rsidRPr="00956BA2">
        <w:rPr>
          <w:rFonts w:cstheme="minorHAnsi"/>
          <w:i/>
          <w:iCs/>
        </w:rPr>
        <w:t xml:space="preserve"> </w:t>
      </w:r>
      <w:r w:rsidR="00B661BB" w:rsidRPr="00956BA2">
        <w:rPr>
          <w:rFonts w:cstheme="minorHAnsi"/>
          <w:i/>
          <w:iCs/>
        </w:rPr>
        <w:t>e.g.</w:t>
      </w:r>
      <w:r w:rsidR="00CC01D4">
        <w:rPr>
          <w:rFonts w:cstheme="minorHAnsi"/>
          <w:i/>
          <w:iCs/>
        </w:rPr>
        <w:t>,</w:t>
      </w:r>
      <w:r w:rsidR="00B661BB" w:rsidRPr="00956BA2">
        <w:rPr>
          <w:rFonts w:cstheme="minorHAnsi"/>
          <w:i/>
          <w:iCs/>
        </w:rPr>
        <w:t xml:space="preserve"> </w:t>
      </w:r>
      <w:r w:rsidRPr="00956BA2">
        <w:rPr>
          <w:rFonts w:cstheme="minorHAnsi"/>
          <w:i/>
          <w:iCs/>
        </w:rPr>
        <w:t>school-to-prison pipelines</w:t>
      </w:r>
      <w:r w:rsidR="00694CF0" w:rsidRPr="00956BA2">
        <w:rPr>
          <w:rFonts w:cstheme="minorHAnsi"/>
          <w:b/>
          <w:bCs/>
          <w:color w:val="000000"/>
        </w:rPr>
        <w:t xml:space="preserve">. </w:t>
      </w:r>
      <w:r w:rsidR="00A41E6E" w:rsidRPr="00956BA2">
        <w:rPr>
          <w:rFonts w:cstheme="minorHAnsi"/>
        </w:rPr>
        <w:t xml:space="preserve">As </w:t>
      </w:r>
      <w:r w:rsidR="009D233B" w:rsidRPr="00956BA2">
        <w:rPr>
          <w:rFonts w:cstheme="minorHAnsi"/>
        </w:rPr>
        <w:t>a</w:t>
      </w:r>
      <w:r w:rsidR="001526DC">
        <w:rPr>
          <w:rFonts w:cstheme="minorHAnsi"/>
        </w:rPr>
        <w:t xml:space="preserve"> member of the</w:t>
      </w:r>
      <w:r w:rsidR="00A41E6E" w:rsidRPr="00956BA2">
        <w:rPr>
          <w:rFonts w:cstheme="minorHAnsi"/>
        </w:rPr>
        <w:t xml:space="preserve"> </w:t>
      </w:r>
      <w:proofErr w:type="spellStart"/>
      <w:r w:rsidR="00A41E6E" w:rsidRPr="00956BA2">
        <w:rPr>
          <w:rFonts w:cstheme="minorHAnsi"/>
        </w:rPr>
        <w:t>Afrikan</w:t>
      </w:r>
      <w:proofErr w:type="spellEnd"/>
      <w:r w:rsidR="0023289C" w:rsidRPr="00956BA2">
        <w:rPr>
          <w:rFonts w:cstheme="minorHAnsi"/>
        </w:rPr>
        <w:t xml:space="preserve"> community </w:t>
      </w:r>
      <w:r w:rsidR="009D233B" w:rsidRPr="00956BA2">
        <w:rPr>
          <w:rFonts w:cstheme="minorHAnsi"/>
        </w:rPr>
        <w:t>in</w:t>
      </w:r>
      <w:r w:rsidR="00364FA2">
        <w:rPr>
          <w:rFonts w:cstheme="minorHAnsi"/>
        </w:rPr>
        <w:t xml:space="preserve"> Bristol, UK</w:t>
      </w:r>
      <w:r w:rsidR="00A41E6E" w:rsidRPr="00956BA2">
        <w:rPr>
          <w:rFonts w:cstheme="minorHAnsi"/>
        </w:rPr>
        <w:t xml:space="preserve"> observed,</w:t>
      </w:r>
    </w:p>
    <w:p w14:paraId="5F86AC56" w14:textId="3985BDE7" w:rsidR="007C3A7B" w:rsidRPr="00956BA2" w:rsidRDefault="00A41E6E" w:rsidP="00BD4FC7">
      <w:pPr>
        <w:spacing w:line="360" w:lineRule="auto"/>
        <w:ind w:left="510" w:right="510"/>
        <w:jc w:val="both"/>
        <w:rPr>
          <w:rFonts w:cstheme="minorHAnsi"/>
        </w:rPr>
      </w:pPr>
      <w:r w:rsidRPr="00956BA2">
        <w:rPr>
          <w:rFonts w:cstheme="minorHAnsi"/>
        </w:rPr>
        <w:t xml:space="preserve"> “</w:t>
      </w:r>
      <w:r w:rsidRPr="00956BA2">
        <w:rPr>
          <w:rFonts w:cstheme="minorHAnsi"/>
          <w:i/>
          <w:iCs/>
        </w:rPr>
        <w:t xml:space="preserve">The mainstream route taken from classroom to cell for too many </w:t>
      </w:r>
      <w:proofErr w:type="spellStart"/>
      <w:r w:rsidRPr="00956BA2">
        <w:rPr>
          <w:rFonts w:cstheme="minorHAnsi"/>
          <w:i/>
          <w:iCs/>
        </w:rPr>
        <w:t>Afrikan</w:t>
      </w:r>
      <w:proofErr w:type="spellEnd"/>
      <w:r w:rsidRPr="00956BA2">
        <w:rPr>
          <w:rFonts w:cstheme="minorHAnsi"/>
          <w:i/>
          <w:iCs/>
        </w:rPr>
        <w:t xml:space="preserve"> young people is both crude and predetermined</w:t>
      </w:r>
      <w:r w:rsidRPr="00956BA2">
        <w:rPr>
          <w:rFonts w:cstheme="minorHAnsi"/>
        </w:rPr>
        <w:t xml:space="preserve">. </w:t>
      </w:r>
      <w:r w:rsidRPr="00956BA2">
        <w:rPr>
          <w:rFonts w:cstheme="minorHAnsi"/>
          <w:i/>
          <w:iCs/>
        </w:rPr>
        <w:t xml:space="preserve">For too many the onslaught of negativity serves as the rationale for the disaffection that young people have for the educational </w:t>
      </w:r>
      <w:r w:rsidR="007C37D5" w:rsidRPr="00956BA2">
        <w:rPr>
          <w:rFonts w:cstheme="minorHAnsi"/>
          <w:i/>
          <w:iCs/>
        </w:rPr>
        <w:t>process and</w:t>
      </w:r>
      <w:r w:rsidRPr="00956BA2">
        <w:rPr>
          <w:rFonts w:cstheme="minorHAnsi"/>
          <w:i/>
          <w:iCs/>
        </w:rPr>
        <w:t xml:space="preserve"> is </w:t>
      </w:r>
      <w:r w:rsidRPr="00956BA2">
        <w:rPr>
          <w:rFonts w:cstheme="minorHAnsi"/>
          <w:i/>
          <w:iCs/>
        </w:rPr>
        <w:lastRenderedPageBreak/>
        <w:t>reflective of the collapse in academic interest and capacity</w:t>
      </w:r>
      <w:r w:rsidR="00FE1C2B" w:rsidRPr="00956BA2">
        <w:rPr>
          <w:rFonts w:cstheme="minorHAnsi"/>
          <w:i/>
          <w:iCs/>
        </w:rPr>
        <w:t>,</w:t>
      </w:r>
      <w:r w:rsidRPr="00956BA2">
        <w:rPr>
          <w:rFonts w:cstheme="minorHAnsi"/>
          <w:i/>
          <w:iCs/>
        </w:rPr>
        <w:t xml:space="preserve"> which appears to be one of the aims of the process.”</w:t>
      </w:r>
      <w:r w:rsidRPr="00956BA2">
        <w:rPr>
          <w:rFonts w:cstheme="minorHAnsi"/>
        </w:rPr>
        <w:t xml:space="preserve"> </w:t>
      </w:r>
    </w:p>
    <w:p w14:paraId="57BB4F42" w14:textId="79CD3D60" w:rsidR="00F25B37" w:rsidRPr="00956BA2" w:rsidRDefault="00406826" w:rsidP="008D0528">
      <w:pPr>
        <w:shd w:val="clear" w:color="auto" w:fill="FFFFFF"/>
        <w:spacing w:before="120" w:after="120" w:line="360" w:lineRule="auto"/>
        <w:jc w:val="both"/>
        <w:rPr>
          <w:rFonts w:cstheme="minorHAnsi"/>
          <w:color w:val="000000"/>
        </w:rPr>
      </w:pPr>
      <w:r w:rsidRPr="00956BA2">
        <w:rPr>
          <w:rFonts w:cstheme="minorHAnsi"/>
          <w:color w:val="666666"/>
          <w:shd w:val="clear" w:color="auto" w:fill="FFFFFF"/>
        </w:rPr>
        <w:t>In that regard, “Evidence suggests that children of African descent in (EU) Member States are awarded lower grades than their white peers in schools, and early school leaving is markedly higher among children of African descent” (European Parliament, 2019).</w:t>
      </w:r>
    </w:p>
    <w:p w14:paraId="3454142D" w14:textId="77777777" w:rsidR="00406826" w:rsidRPr="00956BA2" w:rsidRDefault="00406826" w:rsidP="008D0528">
      <w:pPr>
        <w:shd w:val="clear" w:color="auto" w:fill="FFFFFF"/>
        <w:spacing w:before="120" w:after="120" w:line="360" w:lineRule="auto"/>
        <w:jc w:val="both"/>
        <w:rPr>
          <w:rFonts w:cstheme="minorHAnsi"/>
          <w:color w:val="000000"/>
        </w:rPr>
      </w:pPr>
    </w:p>
    <w:p w14:paraId="7A18CD31" w14:textId="6C7040DA" w:rsidR="002D747E" w:rsidRPr="00956BA2" w:rsidRDefault="00E95BED" w:rsidP="008D0528">
      <w:pPr>
        <w:shd w:val="clear" w:color="auto" w:fill="FFFFFF"/>
        <w:spacing w:before="120" w:after="120" w:line="360" w:lineRule="auto"/>
        <w:jc w:val="both"/>
        <w:rPr>
          <w:rFonts w:cstheme="minorHAnsi"/>
          <w:color w:val="666666"/>
          <w:shd w:val="clear" w:color="auto" w:fill="FFFFFF"/>
        </w:rPr>
      </w:pPr>
      <w:r w:rsidRPr="00956BA2">
        <w:rPr>
          <w:rFonts w:cstheme="minorHAnsi"/>
          <w:color w:val="000000"/>
        </w:rPr>
        <w:t>Moreover, 40 years after racist Stop-And</w:t>
      </w:r>
      <w:r w:rsidR="0095364D" w:rsidRPr="00956BA2">
        <w:rPr>
          <w:rFonts w:cstheme="minorHAnsi"/>
          <w:color w:val="000000"/>
        </w:rPr>
        <w:t>-</w:t>
      </w:r>
      <w:r w:rsidRPr="00956BA2">
        <w:rPr>
          <w:rFonts w:cstheme="minorHAnsi"/>
          <w:color w:val="000000"/>
        </w:rPr>
        <w:t xml:space="preserve">Search practices by law enforcement contributed to criminalization of </w:t>
      </w:r>
      <w:proofErr w:type="spellStart"/>
      <w:r w:rsidRPr="00956BA2">
        <w:rPr>
          <w:rFonts w:cstheme="minorHAnsi"/>
        </w:rPr>
        <w:t>Afrikan</w:t>
      </w:r>
      <w:proofErr w:type="spellEnd"/>
      <w:r w:rsidRPr="00956BA2">
        <w:rPr>
          <w:rFonts w:cstheme="minorHAnsi"/>
        </w:rPr>
        <w:t xml:space="preserve"> youth in the early 1980s</w:t>
      </w:r>
      <w:r w:rsidR="00406826" w:rsidRPr="00956BA2">
        <w:rPr>
          <w:rFonts w:cstheme="minorHAnsi"/>
        </w:rPr>
        <w:t>;</w:t>
      </w:r>
      <w:r w:rsidRPr="00956BA2">
        <w:rPr>
          <w:rFonts w:cstheme="minorHAnsi"/>
        </w:rPr>
        <w:t xml:space="preserve"> </w:t>
      </w:r>
      <w:proofErr w:type="spellStart"/>
      <w:r w:rsidR="0095364D" w:rsidRPr="00956BA2">
        <w:rPr>
          <w:rFonts w:cstheme="minorHAnsi"/>
        </w:rPr>
        <w:t>Afrikans</w:t>
      </w:r>
      <w:proofErr w:type="spellEnd"/>
      <w:r w:rsidRPr="00956BA2">
        <w:rPr>
          <w:rFonts w:cstheme="minorHAnsi"/>
        </w:rPr>
        <w:t xml:space="preserve"> still account for a quarter of incarcerated youth and 10% of all prisoners</w:t>
      </w:r>
      <w:r w:rsidR="002B5EAC" w:rsidRPr="00956BA2">
        <w:rPr>
          <w:rFonts w:cstheme="minorHAnsi"/>
        </w:rPr>
        <w:t>,</w:t>
      </w:r>
      <w:r w:rsidRPr="00956BA2">
        <w:rPr>
          <w:rFonts w:cstheme="minorHAnsi"/>
        </w:rPr>
        <w:t xml:space="preserve"> whilst accounting </w:t>
      </w:r>
      <w:r w:rsidR="00406826" w:rsidRPr="00956BA2">
        <w:rPr>
          <w:rFonts w:cstheme="minorHAnsi"/>
        </w:rPr>
        <w:t>only</w:t>
      </w:r>
      <w:r w:rsidRPr="00956BA2">
        <w:rPr>
          <w:rFonts w:cstheme="minorHAnsi"/>
        </w:rPr>
        <w:t xml:space="preserve"> 3% of the population of England and Wales </w:t>
      </w:r>
      <w:r w:rsidRPr="00956BA2">
        <w:rPr>
          <w:rFonts w:cstheme="minorHAnsi"/>
          <w:color w:val="000000"/>
        </w:rPr>
        <w:t xml:space="preserve">(Byrne et al, 2021, pp.64-65). </w:t>
      </w:r>
      <w:r w:rsidRPr="00956BA2">
        <w:rPr>
          <w:rFonts w:cstheme="minorHAnsi"/>
        </w:rPr>
        <w:t xml:space="preserve">It therefore remains imperative </w:t>
      </w:r>
      <w:r w:rsidR="00C336C6" w:rsidRPr="00956BA2">
        <w:rPr>
          <w:rFonts w:cstheme="minorHAnsi"/>
        </w:rPr>
        <w:t xml:space="preserve">that </w:t>
      </w:r>
      <w:r w:rsidRPr="00956BA2">
        <w:rPr>
          <w:rFonts w:cstheme="minorHAnsi"/>
        </w:rPr>
        <w:t xml:space="preserve">law enforcement officials are held accountable for violent as well as non-violent incidences of </w:t>
      </w:r>
      <w:proofErr w:type="spellStart"/>
      <w:r w:rsidRPr="00956BA2">
        <w:rPr>
          <w:rFonts w:cstheme="minorHAnsi"/>
        </w:rPr>
        <w:t>Afriphobia</w:t>
      </w:r>
      <w:proofErr w:type="spellEnd"/>
      <w:r w:rsidRPr="00956BA2">
        <w:rPr>
          <w:rFonts w:cstheme="minorHAnsi"/>
        </w:rPr>
        <w:t xml:space="preserve">, whilst strengthening institutional oversight. </w:t>
      </w:r>
      <w:r w:rsidR="003025ED" w:rsidRPr="00956BA2">
        <w:rPr>
          <w:rFonts w:cstheme="minorHAnsi"/>
          <w:color w:val="666666"/>
          <w:shd w:val="clear" w:color="auto" w:fill="FFFFFF"/>
        </w:rPr>
        <w:t xml:space="preserve">European Parliament (2019) </w:t>
      </w:r>
    </w:p>
    <w:p w14:paraId="12C96DC7" w14:textId="0CA23566" w:rsidR="002D747E" w:rsidRPr="00956BA2" w:rsidRDefault="003025ED" w:rsidP="002D747E">
      <w:pPr>
        <w:shd w:val="clear" w:color="auto" w:fill="FFFFFF"/>
        <w:spacing w:before="120" w:after="120" w:line="360" w:lineRule="auto"/>
        <w:ind w:left="510" w:right="510"/>
        <w:jc w:val="both"/>
        <w:rPr>
          <w:rFonts w:cstheme="minorHAnsi"/>
          <w:color w:val="666666"/>
          <w:shd w:val="clear" w:color="auto" w:fill="FFFFFF"/>
        </w:rPr>
      </w:pPr>
      <w:r w:rsidRPr="00956BA2">
        <w:rPr>
          <w:rFonts w:cstheme="minorHAnsi"/>
          <w:color w:val="666666"/>
          <w:shd w:val="clear" w:color="auto" w:fill="FFFFFF"/>
        </w:rPr>
        <w:t>“</w:t>
      </w:r>
      <w:r w:rsidR="00406826" w:rsidRPr="00956BA2">
        <w:rPr>
          <w:rFonts w:cstheme="minorHAnsi"/>
          <w:color w:val="666666"/>
          <w:shd w:val="clear" w:color="auto" w:fill="FFFFFF"/>
        </w:rPr>
        <w:t>Calls</w:t>
      </w:r>
      <w:r w:rsidRPr="00956BA2">
        <w:rPr>
          <w:rFonts w:cstheme="minorHAnsi"/>
          <w:color w:val="666666"/>
          <w:shd w:val="clear" w:color="auto" w:fill="FFFFFF"/>
        </w:rPr>
        <w:t xml:space="preserve"> on (European Union) Member States to end racial or ethnic profiling in all forms in criminal law enforcement, counter-terrorism measures, and immigration controls, and to officially recognise and combat practices of unlawful discrimination and violence through anti-racism and anti-bias training for the authorities.” </w:t>
      </w:r>
    </w:p>
    <w:p w14:paraId="2351311F" w14:textId="027C4DEC" w:rsidR="00EF43C8" w:rsidRPr="00956BA2" w:rsidRDefault="003025ED" w:rsidP="008D0528">
      <w:pPr>
        <w:shd w:val="clear" w:color="auto" w:fill="FFFFFF"/>
        <w:spacing w:before="120" w:after="120" w:line="360" w:lineRule="auto"/>
        <w:jc w:val="both"/>
        <w:rPr>
          <w:rFonts w:cstheme="minorHAnsi"/>
          <w:color w:val="000000"/>
        </w:rPr>
      </w:pPr>
      <w:r w:rsidRPr="00956BA2">
        <w:rPr>
          <w:rFonts w:cstheme="minorHAnsi"/>
          <w:color w:val="666666"/>
          <w:shd w:val="clear" w:color="auto" w:fill="FFFFFF"/>
        </w:rPr>
        <w:t xml:space="preserve">However, following BREXIT the </w:t>
      </w:r>
      <w:r w:rsidR="00406826" w:rsidRPr="00956BA2">
        <w:rPr>
          <w:rFonts w:cstheme="minorHAnsi"/>
          <w:color w:val="666666"/>
          <w:shd w:val="clear" w:color="auto" w:fill="FFFFFF"/>
        </w:rPr>
        <w:t xml:space="preserve">UK’s </w:t>
      </w:r>
      <w:r w:rsidRPr="00956BA2">
        <w:rPr>
          <w:rFonts w:cstheme="minorHAnsi"/>
          <w:color w:val="666666"/>
          <w:shd w:val="clear" w:color="auto" w:fill="FFFFFF"/>
        </w:rPr>
        <w:t>obligation for European Union jurisprudence to be transposed into domestic law ceased.</w:t>
      </w:r>
      <w:r w:rsidR="00FC1191" w:rsidRPr="00956BA2">
        <w:rPr>
          <w:rFonts w:cstheme="minorHAnsi"/>
          <w:color w:val="000000"/>
        </w:rPr>
        <w:t xml:space="preserve"> </w:t>
      </w:r>
      <w:r w:rsidR="007F257C" w:rsidRPr="00956BA2">
        <w:rPr>
          <w:rFonts w:cstheme="minorHAnsi"/>
          <w:color w:val="000000"/>
        </w:rPr>
        <w:t xml:space="preserve">The </w:t>
      </w:r>
      <w:r w:rsidR="00FC1191" w:rsidRPr="00956BA2">
        <w:rPr>
          <w:rFonts w:cstheme="minorHAnsi"/>
        </w:rPr>
        <w:t>British</w:t>
      </w:r>
      <w:r w:rsidR="00FC1191" w:rsidRPr="00956BA2">
        <w:rPr>
          <w:rFonts w:cstheme="minorHAnsi"/>
          <w:i/>
          <w:iCs/>
        </w:rPr>
        <w:t xml:space="preserve"> school to prison pipeline can be very easily mapped through the Prevent programme and its impact on certain young people</w:t>
      </w:r>
      <w:r w:rsidR="00FC1191" w:rsidRPr="00956BA2">
        <w:rPr>
          <w:rFonts w:cstheme="minorHAnsi"/>
        </w:rPr>
        <w:t>.</w:t>
      </w:r>
      <w:r w:rsidR="00FC1191" w:rsidRPr="00956BA2">
        <w:rPr>
          <w:rFonts w:cstheme="minorHAnsi"/>
          <w:color w:val="000000"/>
        </w:rPr>
        <w:t xml:space="preserve"> </w:t>
      </w:r>
      <w:r w:rsidR="00B80FF2" w:rsidRPr="00956BA2">
        <w:rPr>
          <w:rFonts w:cstheme="minorHAnsi"/>
          <w:color w:val="000000"/>
        </w:rPr>
        <w:t xml:space="preserve">For example, </w:t>
      </w:r>
      <w:r w:rsidR="00E0543D" w:rsidRPr="00956BA2">
        <w:rPr>
          <w:rFonts w:cstheme="minorHAnsi"/>
          <w:color w:val="000000"/>
        </w:rPr>
        <w:t xml:space="preserve">PREVENT Guidance for HEIs </w:t>
      </w:r>
      <w:r w:rsidR="00EF43C8" w:rsidRPr="00956BA2">
        <w:rPr>
          <w:rFonts w:cstheme="minorHAnsi"/>
          <w:color w:val="000000"/>
        </w:rPr>
        <w:t>states</w:t>
      </w:r>
      <w:r w:rsidR="00FD3697" w:rsidRPr="00956BA2">
        <w:rPr>
          <w:rFonts w:cstheme="minorHAnsi"/>
          <w:color w:val="000000"/>
        </w:rPr>
        <w:t>,</w:t>
      </w:r>
      <w:r w:rsidR="00EF43C8" w:rsidRPr="00956BA2">
        <w:rPr>
          <w:rFonts w:cstheme="minorHAnsi"/>
          <w:color w:val="000000"/>
        </w:rPr>
        <w:t xml:space="preserve"> </w:t>
      </w:r>
    </w:p>
    <w:p w14:paraId="17C6FC29" w14:textId="7B761BC4" w:rsidR="00EF43C8" w:rsidRPr="00956BA2" w:rsidRDefault="00EF43C8" w:rsidP="004508C1">
      <w:pPr>
        <w:shd w:val="clear" w:color="auto" w:fill="FFFFFF"/>
        <w:spacing w:before="120" w:after="120" w:line="360" w:lineRule="auto"/>
        <w:ind w:left="510" w:right="510"/>
        <w:jc w:val="both"/>
        <w:rPr>
          <w:rFonts w:cstheme="minorHAnsi"/>
        </w:rPr>
      </w:pPr>
      <w:r w:rsidRPr="00956BA2">
        <w:rPr>
          <w:rFonts w:cstheme="minorHAnsi"/>
          <w:color w:val="000000"/>
        </w:rPr>
        <w:t>“</w:t>
      </w:r>
      <w:r w:rsidR="00872350" w:rsidRPr="00956BA2">
        <w:rPr>
          <w:rFonts w:cstheme="minorHAnsi"/>
        </w:rPr>
        <w:t>We</w:t>
      </w:r>
      <w:r w:rsidR="00E0543D" w:rsidRPr="00956BA2">
        <w:rPr>
          <w:rFonts w:cstheme="minorHAnsi"/>
        </w:rPr>
        <w:t xml:space="preserve"> would expect appropriate members of staff to </w:t>
      </w:r>
      <w:r w:rsidR="00560F12" w:rsidRPr="00956BA2">
        <w:rPr>
          <w:rFonts w:cstheme="minorHAnsi"/>
        </w:rPr>
        <w:t>understand</w:t>
      </w:r>
      <w:r w:rsidR="00E0543D" w:rsidRPr="00956BA2">
        <w:rPr>
          <w:rFonts w:cstheme="minorHAnsi"/>
        </w:rPr>
        <w:t xml:space="preserve"> the factors that make people support terrorist ideologies or engage in terrorist-related activity. Such staff should have sufficient training to be able to recognise vulnerability to being drawn into </w:t>
      </w:r>
      <w:r w:rsidRPr="00956BA2">
        <w:rPr>
          <w:rFonts w:cstheme="minorHAnsi"/>
        </w:rPr>
        <w:t>terrorism and</w:t>
      </w:r>
      <w:r w:rsidR="00E0543D" w:rsidRPr="00956BA2">
        <w:rPr>
          <w:rFonts w:cstheme="minorHAnsi"/>
        </w:rPr>
        <w:t xml:space="preserve"> be aware of what action to take in response</w:t>
      </w:r>
      <w:r w:rsidR="004508C1" w:rsidRPr="00956BA2">
        <w:rPr>
          <w:rFonts w:cstheme="minorHAnsi"/>
        </w:rPr>
        <w:t>”</w:t>
      </w:r>
      <w:r w:rsidR="00E0543D" w:rsidRPr="00956BA2">
        <w:rPr>
          <w:rFonts w:cstheme="minorHAnsi"/>
        </w:rPr>
        <w:t xml:space="preserve">. </w:t>
      </w:r>
    </w:p>
    <w:p w14:paraId="0E795090" w14:textId="683CA9B1" w:rsidR="00363685" w:rsidRPr="00956BA2" w:rsidRDefault="002A3A60" w:rsidP="00363685">
      <w:pPr>
        <w:shd w:val="clear" w:color="auto" w:fill="FFFFFF"/>
        <w:spacing w:before="120" w:after="120" w:line="360" w:lineRule="auto"/>
        <w:jc w:val="both"/>
        <w:rPr>
          <w:rFonts w:cstheme="minorHAnsi"/>
        </w:rPr>
      </w:pPr>
      <w:r w:rsidRPr="00956BA2">
        <w:rPr>
          <w:rFonts w:cstheme="minorHAnsi"/>
          <w:color w:val="000000"/>
        </w:rPr>
        <w:t>Nonetheless</w:t>
      </w:r>
      <w:r w:rsidR="004508C1" w:rsidRPr="00956BA2">
        <w:rPr>
          <w:rFonts w:cstheme="minorHAnsi"/>
          <w:color w:val="000000"/>
        </w:rPr>
        <w:t xml:space="preserve">, </w:t>
      </w:r>
      <w:proofErr w:type="spellStart"/>
      <w:r w:rsidR="00F6245D" w:rsidRPr="00956BA2">
        <w:rPr>
          <w:rFonts w:cstheme="minorHAnsi"/>
          <w:color w:val="000000"/>
        </w:rPr>
        <w:t>Afrikan</w:t>
      </w:r>
      <w:r w:rsidR="00410D39" w:rsidRPr="00956BA2">
        <w:rPr>
          <w:rFonts w:cstheme="minorHAnsi"/>
          <w:color w:val="000000"/>
        </w:rPr>
        <w:t>s</w:t>
      </w:r>
      <w:proofErr w:type="spellEnd"/>
      <w:r w:rsidR="008C3DCC" w:rsidRPr="00956BA2">
        <w:rPr>
          <w:rFonts w:cstheme="minorHAnsi"/>
          <w:color w:val="000000"/>
        </w:rPr>
        <w:t xml:space="preserve"> </w:t>
      </w:r>
      <w:r w:rsidR="00F6245D" w:rsidRPr="00956BA2">
        <w:rPr>
          <w:rFonts w:cstheme="minorHAnsi"/>
          <w:color w:val="000000"/>
        </w:rPr>
        <w:t xml:space="preserve">remain underrepresented </w:t>
      </w:r>
      <w:r w:rsidR="00410D39" w:rsidRPr="00956BA2">
        <w:rPr>
          <w:rFonts w:cstheme="minorHAnsi"/>
          <w:color w:val="000000"/>
        </w:rPr>
        <w:t xml:space="preserve">as </w:t>
      </w:r>
      <w:r w:rsidR="008C7082" w:rsidRPr="00956BA2">
        <w:rPr>
          <w:rFonts w:cstheme="minorHAnsi"/>
          <w:color w:val="000000"/>
        </w:rPr>
        <w:t>role models</w:t>
      </w:r>
      <w:r w:rsidR="00410D39" w:rsidRPr="00956BA2">
        <w:rPr>
          <w:rFonts w:cstheme="minorHAnsi"/>
          <w:color w:val="000000"/>
        </w:rPr>
        <w:t xml:space="preserve"> </w:t>
      </w:r>
      <w:r w:rsidR="001A764D" w:rsidRPr="00956BA2">
        <w:rPr>
          <w:rFonts w:cstheme="minorHAnsi"/>
          <w:color w:val="000000"/>
        </w:rPr>
        <w:t xml:space="preserve">in the </w:t>
      </w:r>
      <w:r w:rsidR="00410D39" w:rsidRPr="00956BA2">
        <w:rPr>
          <w:rFonts w:cstheme="minorHAnsi"/>
          <w:color w:val="000000"/>
        </w:rPr>
        <w:t xml:space="preserve">British </w:t>
      </w:r>
      <w:r w:rsidR="00F6245D" w:rsidRPr="00956BA2">
        <w:rPr>
          <w:rFonts w:cstheme="minorHAnsi"/>
          <w:color w:val="000000"/>
        </w:rPr>
        <w:t>criminal justice system, where they account for less than 3% of prison officers</w:t>
      </w:r>
      <w:r w:rsidR="008E258F" w:rsidRPr="00956BA2">
        <w:rPr>
          <w:rFonts w:cstheme="minorHAnsi"/>
          <w:color w:val="000000"/>
        </w:rPr>
        <w:t>,</w:t>
      </w:r>
      <w:r w:rsidR="00F6245D" w:rsidRPr="00956BA2">
        <w:rPr>
          <w:rFonts w:cstheme="minorHAnsi"/>
          <w:color w:val="000000"/>
        </w:rPr>
        <w:t xml:space="preserve"> court judges, police officers</w:t>
      </w:r>
      <w:r w:rsidR="007B5D08" w:rsidRPr="00956BA2">
        <w:rPr>
          <w:rFonts w:cstheme="minorHAnsi"/>
          <w:color w:val="000000"/>
        </w:rPr>
        <w:t xml:space="preserve">, although law enforcement officers are increasingly employed by educational </w:t>
      </w:r>
      <w:r w:rsidR="00CC51A4" w:rsidRPr="00956BA2">
        <w:rPr>
          <w:rFonts w:cstheme="minorHAnsi"/>
          <w:color w:val="000000"/>
        </w:rPr>
        <w:t>institutions,</w:t>
      </w:r>
      <w:r w:rsidR="00CC51A4" w:rsidRPr="00956BA2">
        <w:rPr>
          <w:rFonts w:cstheme="minorHAnsi"/>
          <w:b/>
          <w:bCs/>
          <w:color w:val="000000"/>
        </w:rPr>
        <w:t xml:space="preserve"> </w:t>
      </w:r>
      <w:r w:rsidR="00CC51A4" w:rsidRPr="00956BA2">
        <w:rPr>
          <w:rFonts w:cstheme="minorHAnsi"/>
          <w:color w:val="000000"/>
        </w:rPr>
        <w:t>(</w:t>
      </w:r>
      <w:r w:rsidR="00F6245D" w:rsidRPr="00956BA2">
        <w:rPr>
          <w:rFonts w:cstheme="minorHAnsi"/>
          <w:color w:val="000000"/>
        </w:rPr>
        <w:t>Byrne et al, 2020, pp.54-55)</w:t>
      </w:r>
      <w:r w:rsidR="00FE2CD7" w:rsidRPr="00956BA2">
        <w:rPr>
          <w:rFonts w:cstheme="minorHAnsi"/>
          <w:color w:val="000000"/>
        </w:rPr>
        <w:t>.</w:t>
      </w:r>
      <w:r w:rsidR="00A44B50" w:rsidRPr="00956BA2">
        <w:rPr>
          <w:rFonts w:cstheme="minorHAnsi"/>
        </w:rPr>
        <w:t xml:space="preserve"> </w:t>
      </w:r>
      <w:r w:rsidR="007B2D3E">
        <w:rPr>
          <w:rFonts w:cstheme="minorHAnsi"/>
        </w:rPr>
        <w:t>This a</w:t>
      </w:r>
      <w:r w:rsidR="00E62656">
        <w:rPr>
          <w:rFonts w:cstheme="minorHAnsi"/>
        </w:rPr>
        <w:t xml:space="preserve">dversely affects relations between </w:t>
      </w:r>
      <w:r w:rsidR="00074656">
        <w:rPr>
          <w:rFonts w:cstheme="minorHAnsi"/>
        </w:rPr>
        <w:t>our communities and law enforcement</w:t>
      </w:r>
      <w:r w:rsidR="00811E0B">
        <w:rPr>
          <w:rFonts w:cstheme="minorHAnsi"/>
        </w:rPr>
        <w:t xml:space="preserve">. </w:t>
      </w:r>
      <w:r w:rsidR="00560F12" w:rsidRPr="00956BA2">
        <w:rPr>
          <w:rFonts w:cstheme="minorHAnsi"/>
        </w:rPr>
        <w:t>Furthermore</w:t>
      </w:r>
      <w:r w:rsidR="00A44B50" w:rsidRPr="00956BA2">
        <w:rPr>
          <w:rFonts w:cstheme="minorHAnsi"/>
        </w:rPr>
        <w:t xml:space="preserve">, </w:t>
      </w:r>
      <w:r w:rsidR="006322DE" w:rsidRPr="00956BA2">
        <w:rPr>
          <w:rFonts w:cstheme="minorHAnsi"/>
        </w:rPr>
        <w:t xml:space="preserve">whilst </w:t>
      </w:r>
      <w:r w:rsidR="00A44B50" w:rsidRPr="00956BA2">
        <w:rPr>
          <w:rFonts w:cstheme="minorHAnsi"/>
        </w:rPr>
        <w:t xml:space="preserve">the percentage of incarcerated White </w:t>
      </w:r>
      <w:r w:rsidR="004F3463" w:rsidRPr="00956BA2">
        <w:rPr>
          <w:rFonts w:cstheme="minorHAnsi"/>
        </w:rPr>
        <w:t>youth</w:t>
      </w:r>
      <w:r w:rsidR="00A44B50" w:rsidRPr="00956BA2">
        <w:rPr>
          <w:rFonts w:cstheme="minorHAnsi"/>
        </w:rPr>
        <w:t xml:space="preserve"> fell from 74% to 55%</w:t>
      </w:r>
      <w:r w:rsidR="006322DE" w:rsidRPr="00956BA2">
        <w:rPr>
          <w:rFonts w:cstheme="minorHAnsi"/>
        </w:rPr>
        <w:t xml:space="preserve"> between 2008 and 2018</w:t>
      </w:r>
      <w:r w:rsidR="00A44B50" w:rsidRPr="00956BA2">
        <w:rPr>
          <w:rFonts w:cstheme="minorHAnsi"/>
        </w:rPr>
        <w:t xml:space="preserve">, the rates of incarcerated </w:t>
      </w:r>
      <w:proofErr w:type="spellStart"/>
      <w:r w:rsidR="00A44B50" w:rsidRPr="00956BA2">
        <w:rPr>
          <w:rFonts w:cstheme="minorHAnsi"/>
        </w:rPr>
        <w:t>Afrikan</w:t>
      </w:r>
      <w:proofErr w:type="spellEnd"/>
      <w:r w:rsidR="00A44B50" w:rsidRPr="00956BA2">
        <w:rPr>
          <w:rFonts w:cstheme="minorHAnsi"/>
        </w:rPr>
        <w:t xml:space="preserve"> </w:t>
      </w:r>
      <w:r w:rsidR="004F3463" w:rsidRPr="00956BA2">
        <w:rPr>
          <w:rFonts w:cstheme="minorHAnsi"/>
        </w:rPr>
        <w:t>youth</w:t>
      </w:r>
      <w:r w:rsidR="00A44B50" w:rsidRPr="00956BA2">
        <w:rPr>
          <w:rFonts w:cstheme="minorHAnsi"/>
        </w:rPr>
        <w:t xml:space="preserve"> increased over the same period, from 15% to 25%</w:t>
      </w:r>
      <w:r w:rsidR="00371551">
        <w:rPr>
          <w:rFonts w:cstheme="minorHAnsi"/>
        </w:rPr>
        <w:t>,</w:t>
      </w:r>
      <w:r w:rsidR="00A44B50" w:rsidRPr="00956BA2">
        <w:rPr>
          <w:rFonts w:cstheme="minorHAnsi"/>
        </w:rPr>
        <w:t xml:space="preserve"> (Byrne et al, 2020, pp.64-65).</w:t>
      </w:r>
      <w:r w:rsidR="00702B44" w:rsidRPr="00956BA2">
        <w:rPr>
          <w:rFonts w:cstheme="minorHAnsi"/>
        </w:rPr>
        <w:t xml:space="preserve"> </w:t>
      </w:r>
    </w:p>
    <w:p w14:paraId="3DDEB776" w14:textId="4FD90D31" w:rsidR="00367DF8" w:rsidRPr="00956BA2" w:rsidRDefault="007D1C35" w:rsidP="0093596B">
      <w:pPr>
        <w:shd w:val="clear" w:color="auto" w:fill="FFFFFF"/>
        <w:spacing w:before="120" w:after="120" w:line="360" w:lineRule="auto"/>
        <w:jc w:val="both"/>
        <w:rPr>
          <w:rFonts w:cstheme="minorHAnsi"/>
        </w:rPr>
      </w:pPr>
      <w:r w:rsidRPr="00956BA2">
        <w:rPr>
          <w:rFonts w:cstheme="minorHAnsi"/>
          <w:b/>
          <w:bCs/>
        </w:rPr>
        <w:lastRenderedPageBreak/>
        <w:t>Development</w:t>
      </w:r>
      <w:r w:rsidR="004F695B" w:rsidRPr="00956BA2">
        <w:rPr>
          <w:rFonts w:cstheme="minorHAnsi"/>
        </w:rPr>
        <w:t xml:space="preserve"> </w:t>
      </w:r>
      <w:r w:rsidR="00E61475" w:rsidRPr="00956BA2">
        <w:rPr>
          <w:rFonts w:cstheme="minorHAnsi"/>
        </w:rPr>
        <w:t>necessitat</w:t>
      </w:r>
      <w:r w:rsidR="004F695B" w:rsidRPr="00956BA2">
        <w:rPr>
          <w:rFonts w:cstheme="minorHAnsi"/>
        </w:rPr>
        <w:t>es</w:t>
      </w:r>
      <w:r w:rsidR="00F64B47" w:rsidRPr="00956BA2">
        <w:rPr>
          <w:rFonts w:cstheme="minorHAnsi"/>
        </w:rPr>
        <w:t xml:space="preserve"> </w:t>
      </w:r>
      <w:r w:rsidR="00727B80" w:rsidRPr="00956BA2">
        <w:rPr>
          <w:rFonts w:cstheme="minorHAnsi"/>
        </w:rPr>
        <w:t xml:space="preserve">public bodies and </w:t>
      </w:r>
      <w:r w:rsidR="007C7789" w:rsidRPr="00956BA2">
        <w:rPr>
          <w:rFonts w:cstheme="minorHAnsi"/>
        </w:rPr>
        <w:t xml:space="preserve">other </w:t>
      </w:r>
      <w:r w:rsidR="00F71B42" w:rsidRPr="00956BA2">
        <w:rPr>
          <w:rFonts w:cstheme="minorHAnsi"/>
        </w:rPr>
        <w:t>sta</w:t>
      </w:r>
      <w:r w:rsidR="002C5811" w:rsidRPr="00956BA2">
        <w:rPr>
          <w:rFonts w:cstheme="minorHAnsi"/>
        </w:rPr>
        <w:t>keholders</w:t>
      </w:r>
      <w:r w:rsidR="0001024B" w:rsidRPr="00956BA2">
        <w:rPr>
          <w:rFonts w:cstheme="minorHAnsi"/>
        </w:rPr>
        <w:t xml:space="preserve"> </w:t>
      </w:r>
      <w:r w:rsidR="0001024B" w:rsidRPr="00371551">
        <w:rPr>
          <w:rFonts w:cstheme="minorHAnsi"/>
          <w:i/>
          <w:iCs/>
        </w:rPr>
        <w:t xml:space="preserve">pursue justice </w:t>
      </w:r>
      <w:r w:rsidR="006B501A" w:rsidRPr="00956BA2">
        <w:rPr>
          <w:rFonts w:cstheme="minorHAnsi"/>
        </w:rPr>
        <w:t xml:space="preserve">by ending impunity </w:t>
      </w:r>
      <w:r w:rsidR="008E6F8A" w:rsidRPr="00956BA2">
        <w:rPr>
          <w:rFonts w:cstheme="minorHAnsi"/>
        </w:rPr>
        <w:t xml:space="preserve">and build trust in </w:t>
      </w:r>
      <w:proofErr w:type="spellStart"/>
      <w:r w:rsidR="008E6F8A" w:rsidRPr="00956BA2">
        <w:rPr>
          <w:rFonts w:cstheme="minorHAnsi"/>
        </w:rPr>
        <w:t>Afrikan</w:t>
      </w:r>
      <w:proofErr w:type="spellEnd"/>
      <w:r w:rsidR="008E6F8A" w:rsidRPr="00956BA2">
        <w:rPr>
          <w:rFonts w:cstheme="minorHAnsi"/>
        </w:rPr>
        <w:t xml:space="preserve"> communities</w:t>
      </w:r>
      <w:r w:rsidR="00D67A92" w:rsidRPr="00956BA2">
        <w:rPr>
          <w:rFonts w:cstheme="minorHAnsi"/>
        </w:rPr>
        <w:t>.</w:t>
      </w:r>
      <w:r w:rsidR="00645255" w:rsidRPr="00956BA2">
        <w:rPr>
          <w:rFonts w:cstheme="minorHAnsi"/>
        </w:rPr>
        <w:t xml:space="preserve"> </w:t>
      </w:r>
      <w:r w:rsidR="00CC1688" w:rsidRPr="00956BA2">
        <w:rPr>
          <w:rFonts w:cstheme="minorHAnsi"/>
          <w:i/>
          <w:iCs/>
        </w:rPr>
        <w:t>The routes that expose young people to the world of the petty criminal become more and more predictable once students stop learning and get into seeking alternative ways to manage their time in the enforced environment where they feel the pressure of the teaching staff to conform.</w:t>
      </w:r>
      <w:r w:rsidR="00CC1688" w:rsidRPr="00956BA2">
        <w:rPr>
          <w:rFonts w:cstheme="minorHAnsi"/>
        </w:rPr>
        <w:t xml:space="preserve"> </w:t>
      </w:r>
      <w:r w:rsidR="0093596B" w:rsidRPr="00956BA2">
        <w:rPr>
          <w:rFonts w:cstheme="minorHAnsi"/>
        </w:rPr>
        <w:t xml:space="preserve">In recent years, </w:t>
      </w:r>
      <w:r w:rsidR="004E3BD1" w:rsidRPr="00956BA2">
        <w:rPr>
          <w:rFonts w:cstheme="minorHAnsi"/>
        </w:rPr>
        <w:t xml:space="preserve">development of more inclusive curricula and </w:t>
      </w:r>
      <w:r w:rsidR="00642F58" w:rsidRPr="00956BA2">
        <w:rPr>
          <w:rFonts w:cstheme="minorHAnsi"/>
        </w:rPr>
        <w:t>pedagogy</w:t>
      </w:r>
      <w:r w:rsidR="00355038" w:rsidRPr="00956BA2">
        <w:rPr>
          <w:rFonts w:cstheme="minorHAnsi"/>
        </w:rPr>
        <w:t xml:space="preserve"> has become a feature across all levels of education</w:t>
      </w:r>
      <w:r w:rsidR="00642F58" w:rsidRPr="00956BA2">
        <w:rPr>
          <w:rFonts w:cstheme="minorHAnsi"/>
        </w:rPr>
        <w:t xml:space="preserve">, often, as in the case of CRT </w:t>
      </w:r>
      <w:r w:rsidR="00FB1C7C" w:rsidRPr="00956BA2">
        <w:rPr>
          <w:rFonts w:cstheme="minorHAnsi"/>
        </w:rPr>
        <w:t xml:space="preserve">with much opposition. </w:t>
      </w:r>
      <w:r w:rsidR="00197F21">
        <w:rPr>
          <w:rFonts w:cstheme="minorHAnsi"/>
        </w:rPr>
        <w:t xml:space="preserve">With this in mind </w:t>
      </w:r>
      <w:r w:rsidR="00E95BED" w:rsidRPr="00956BA2">
        <w:rPr>
          <w:rFonts w:cstheme="minorHAnsi"/>
        </w:rPr>
        <w:t xml:space="preserve">IDPAD’s thematic objectives can be linked to the 2030 Agenda for Sustainable Development, in order to advocate more inclusive and successful outcomes for </w:t>
      </w:r>
      <w:proofErr w:type="spellStart"/>
      <w:r w:rsidR="00E95BED" w:rsidRPr="00956BA2">
        <w:rPr>
          <w:rFonts w:cstheme="minorHAnsi"/>
        </w:rPr>
        <w:t>Afrikans</w:t>
      </w:r>
      <w:proofErr w:type="spellEnd"/>
      <w:r w:rsidR="00E95BED" w:rsidRPr="00956BA2">
        <w:rPr>
          <w:rFonts w:cstheme="minorHAnsi"/>
        </w:rPr>
        <w:t xml:space="preserve"> globally.  </w:t>
      </w:r>
      <w:r w:rsidR="003A2B80" w:rsidRPr="00956BA2">
        <w:rPr>
          <w:rFonts w:cstheme="minorHAnsi"/>
        </w:rPr>
        <w:t>This includes</w:t>
      </w:r>
      <w:r w:rsidR="00914F53" w:rsidRPr="00956BA2">
        <w:rPr>
          <w:rFonts w:cstheme="minorHAnsi"/>
        </w:rPr>
        <w:t xml:space="preserve"> implementing </w:t>
      </w:r>
      <w:r w:rsidR="00BA7905" w:rsidRPr="00956BA2">
        <w:rPr>
          <w:rFonts w:cstheme="minorHAnsi"/>
        </w:rPr>
        <w:t xml:space="preserve">SDG 16 </w:t>
      </w:r>
      <w:r w:rsidR="006B5B97" w:rsidRPr="00956BA2">
        <w:rPr>
          <w:rFonts w:cstheme="minorHAnsi"/>
        </w:rPr>
        <w:t>T</w:t>
      </w:r>
      <w:r w:rsidR="00DA6D56" w:rsidRPr="00956BA2">
        <w:rPr>
          <w:rFonts w:cstheme="minorHAnsi"/>
        </w:rPr>
        <w:t>argets</w:t>
      </w:r>
      <w:r w:rsidR="00B964BB" w:rsidRPr="00956BA2">
        <w:rPr>
          <w:rFonts w:cstheme="minorHAnsi"/>
        </w:rPr>
        <w:t xml:space="preserve">, </w:t>
      </w:r>
      <w:r w:rsidR="00DA6D56" w:rsidRPr="00956BA2">
        <w:rPr>
          <w:rFonts w:cstheme="minorHAnsi"/>
        </w:rPr>
        <w:t>to</w:t>
      </w:r>
      <w:r w:rsidR="00BA7905" w:rsidRPr="00956BA2">
        <w:rPr>
          <w:rFonts w:cstheme="minorHAnsi"/>
        </w:rPr>
        <w:t xml:space="preserve"> advocate peace, justice</w:t>
      </w:r>
      <w:r w:rsidR="00E842F4" w:rsidRPr="00956BA2">
        <w:rPr>
          <w:rFonts w:cstheme="minorHAnsi"/>
        </w:rPr>
        <w:t>,</w:t>
      </w:r>
      <w:r w:rsidR="00BA7905" w:rsidRPr="00956BA2">
        <w:rPr>
          <w:rFonts w:cstheme="minorHAnsi"/>
        </w:rPr>
        <w:t xml:space="preserve"> and good governance</w:t>
      </w:r>
      <w:r w:rsidR="002B0F5B">
        <w:rPr>
          <w:rFonts w:cstheme="minorHAnsi"/>
        </w:rPr>
        <w:t xml:space="preserve">, which </w:t>
      </w:r>
      <w:r w:rsidR="009B4E9A">
        <w:rPr>
          <w:rFonts w:cstheme="minorHAnsi"/>
        </w:rPr>
        <w:t xml:space="preserve">in turn </w:t>
      </w:r>
      <w:r w:rsidR="002B0F5B">
        <w:rPr>
          <w:rFonts w:cstheme="minorHAnsi"/>
        </w:rPr>
        <w:t>can be</w:t>
      </w:r>
      <w:r w:rsidR="009B4E9A">
        <w:rPr>
          <w:rFonts w:cstheme="minorHAnsi"/>
        </w:rPr>
        <w:t xml:space="preserve"> </w:t>
      </w:r>
      <w:r w:rsidR="002B0F5B">
        <w:rPr>
          <w:rFonts w:cstheme="minorHAnsi"/>
        </w:rPr>
        <w:t>monitored for accountability through use of Global Monitoring Indicators</w:t>
      </w:r>
      <w:r w:rsidR="00BA7905" w:rsidRPr="00956BA2">
        <w:rPr>
          <w:rFonts w:cstheme="minorHAnsi"/>
        </w:rPr>
        <w:t>.</w:t>
      </w:r>
      <w:r w:rsidR="00EE22BE" w:rsidRPr="00956BA2">
        <w:rPr>
          <w:rFonts w:cstheme="minorHAnsi"/>
        </w:rPr>
        <w:t xml:space="preserve"> </w:t>
      </w:r>
    </w:p>
    <w:p w14:paraId="26669113" w14:textId="77777777" w:rsidR="00BD4FC7" w:rsidRPr="00956BA2" w:rsidRDefault="00BD4FC7" w:rsidP="00B50C18">
      <w:pPr>
        <w:shd w:val="clear" w:color="auto" w:fill="FFFFFF"/>
        <w:spacing w:before="120" w:after="120" w:line="360" w:lineRule="auto"/>
        <w:jc w:val="both"/>
        <w:rPr>
          <w:rFonts w:cstheme="minorHAnsi"/>
        </w:rPr>
      </w:pPr>
    </w:p>
    <w:p w14:paraId="09032306" w14:textId="33CCBAA8" w:rsidR="001A7525" w:rsidRPr="00956BA2" w:rsidRDefault="00CB1157" w:rsidP="00B50C18">
      <w:pPr>
        <w:shd w:val="clear" w:color="auto" w:fill="FFFFFF"/>
        <w:spacing w:before="120" w:after="120" w:line="360" w:lineRule="auto"/>
        <w:jc w:val="both"/>
        <w:rPr>
          <w:rFonts w:cstheme="minorHAnsi"/>
          <w:color w:val="000000"/>
        </w:rPr>
      </w:pPr>
      <w:r w:rsidRPr="00956BA2">
        <w:rPr>
          <w:rFonts w:cstheme="minorHAnsi"/>
        </w:rPr>
        <w:t>I</w:t>
      </w:r>
      <w:r w:rsidR="00B50C18" w:rsidRPr="00956BA2">
        <w:rPr>
          <w:rFonts w:cstheme="minorHAnsi"/>
        </w:rPr>
        <w:t xml:space="preserve">nterventions which advocate stakeholders </w:t>
      </w:r>
      <w:r w:rsidR="00B50C18" w:rsidRPr="00F74AAB">
        <w:rPr>
          <w:rFonts w:cstheme="minorHAnsi"/>
          <w:i/>
          <w:iCs/>
        </w:rPr>
        <w:t xml:space="preserve">listen up </w:t>
      </w:r>
      <w:r w:rsidR="00B50C18" w:rsidRPr="00956BA2">
        <w:rPr>
          <w:rFonts w:cstheme="minorHAnsi"/>
        </w:rPr>
        <w:t xml:space="preserve">to ensure </w:t>
      </w:r>
      <w:proofErr w:type="spellStart"/>
      <w:r w:rsidR="00B50C18" w:rsidRPr="00956BA2">
        <w:rPr>
          <w:rFonts w:cstheme="minorHAnsi"/>
        </w:rPr>
        <w:t>Afrikans</w:t>
      </w:r>
      <w:proofErr w:type="spellEnd"/>
      <w:r w:rsidR="00B50C18" w:rsidRPr="00956BA2">
        <w:rPr>
          <w:rFonts w:cstheme="minorHAnsi"/>
        </w:rPr>
        <w:t xml:space="preserve"> who stand against </w:t>
      </w:r>
      <w:proofErr w:type="spellStart"/>
      <w:r w:rsidR="00B50C18" w:rsidRPr="00956BA2">
        <w:rPr>
          <w:rFonts w:cstheme="minorHAnsi"/>
        </w:rPr>
        <w:t>Afriphobia</w:t>
      </w:r>
      <w:proofErr w:type="spellEnd"/>
      <w:r w:rsidR="00B50C18" w:rsidRPr="00956BA2">
        <w:rPr>
          <w:rFonts w:cstheme="minorHAnsi"/>
        </w:rPr>
        <w:t xml:space="preserve"> are protected, heard, and </w:t>
      </w:r>
      <w:r w:rsidR="004C7D85">
        <w:rPr>
          <w:rFonts w:cstheme="minorHAnsi"/>
        </w:rPr>
        <w:t xml:space="preserve">their </w:t>
      </w:r>
      <w:r w:rsidR="00B50C18" w:rsidRPr="00956BA2">
        <w:rPr>
          <w:rFonts w:cstheme="minorHAnsi"/>
        </w:rPr>
        <w:t xml:space="preserve">concerns are acted upon, </w:t>
      </w:r>
      <w:r w:rsidR="008B6CF3" w:rsidRPr="00956BA2">
        <w:rPr>
          <w:rFonts w:cstheme="minorHAnsi"/>
        </w:rPr>
        <w:t>exemplify</w:t>
      </w:r>
      <w:r w:rsidR="00B50C18" w:rsidRPr="00956BA2">
        <w:rPr>
          <w:rFonts w:cstheme="minorHAnsi"/>
        </w:rPr>
        <w:t xml:space="preserve"> IDPAD’s thematic objective of </w:t>
      </w:r>
      <w:r w:rsidR="00B50C18" w:rsidRPr="00206393">
        <w:rPr>
          <w:rFonts w:cstheme="minorHAnsi"/>
        </w:rPr>
        <w:t>development</w:t>
      </w:r>
      <w:r w:rsidR="00F839DF">
        <w:rPr>
          <w:rFonts w:cstheme="minorHAnsi"/>
        </w:rPr>
        <w:t xml:space="preserve">, should be monitored to ensure </w:t>
      </w:r>
      <w:r w:rsidR="00BC20E5">
        <w:rPr>
          <w:rFonts w:cstheme="minorHAnsi"/>
        </w:rPr>
        <w:t>emancipatory praxis is achieved</w:t>
      </w:r>
      <w:r w:rsidR="00B50C18" w:rsidRPr="00956BA2">
        <w:rPr>
          <w:rFonts w:cstheme="minorHAnsi"/>
        </w:rPr>
        <w:t>.</w:t>
      </w:r>
      <w:r w:rsidR="00B50C18" w:rsidRPr="00956BA2">
        <w:rPr>
          <w:rFonts w:cstheme="minorHAnsi"/>
          <w:color w:val="000000"/>
        </w:rPr>
        <w:t xml:space="preserve">  </w:t>
      </w:r>
      <w:r w:rsidR="00731C48" w:rsidRPr="00956BA2">
        <w:rPr>
          <w:rFonts w:cstheme="minorHAnsi"/>
          <w:color w:val="000000"/>
        </w:rPr>
        <w:t xml:space="preserve">For example, </w:t>
      </w:r>
      <w:r w:rsidR="000B1275" w:rsidRPr="00956BA2">
        <w:rPr>
          <w:rFonts w:cstheme="minorHAnsi"/>
          <w:b/>
          <w:bCs/>
        </w:rPr>
        <w:t xml:space="preserve">SDG Target </w:t>
      </w:r>
      <w:r w:rsidR="00AC64BB" w:rsidRPr="00956BA2">
        <w:rPr>
          <w:rFonts w:cstheme="minorHAnsi"/>
          <w:b/>
          <w:bCs/>
        </w:rPr>
        <w:t>16.b</w:t>
      </w:r>
      <w:r w:rsidR="000B1275" w:rsidRPr="00956BA2">
        <w:rPr>
          <w:rFonts w:cstheme="minorHAnsi"/>
        </w:rPr>
        <w:t xml:space="preserve">, asserts </w:t>
      </w:r>
      <w:r w:rsidR="002F5C90" w:rsidRPr="00956BA2">
        <w:rPr>
          <w:rFonts w:cstheme="minorHAnsi"/>
        </w:rPr>
        <w:t>promoting and enforcing non-discriminatory laws and policies</w:t>
      </w:r>
      <w:r w:rsidR="000B1275" w:rsidRPr="00956BA2">
        <w:rPr>
          <w:rFonts w:cstheme="minorHAnsi"/>
        </w:rPr>
        <w:t xml:space="preserve">, and </w:t>
      </w:r>
      <w:r w:rsidR="008E0A9D" w:rsidRPr="00956BA2">
        <w:rPr>
          <w:rFonts w:cstheme="minorHAnsi"/>
        </w:rPr>
        <w:t>is</w:t>
      </w:r>
      <w:r w:rsidR="000B1275" w:rsidRPr="00956BA2">
        <w:rPr>
          <w:rFonts w:cstheme="minorHAnsi"/>
        </w:rPr>
        <w:t xml:space="preserve"> advocated to public bodies and other stakeholders.</w:t>
      </w:r>
      <w:r w:rsidR="008220AA" w:rsidRPr="00956BA2">
        <w:rPr>
          <w:rFonts w:cstheme="minorHAnsi"/>
        </w:rPr>
        <w:t xml:space="preserve"> </w:t>
      </w:r>
      <w:r w:rsidR="004C7D85">
        <w:rPr>
          <w:rFonts w:cstheme="minorHAnsi"/>
        </w:rPr>
        <w:t xml:space="preserve">Notably, </w:t>
      </w:r>
      <w:r w:rsidR="00F91D46" w:rsidRPr="00956BA2">
        <w:rPr>
          <w:rFonts w:cstheme="minorHAnsi"/>
        </w:rPr>
        <w:t xml:space="preserve">European </w:t>
      </w:r>
      <w:r w:rsidR="002A4FF8" w:rsidRPr="00956BA2">
        <w:rPr>
          <w:rFonts w:cstheme="minorHAnsi"/>
        </w:rPr>
        <w:t>P</w:t>
      </w:r>
      <w:r w:rsidR="00F91D46" w:rsidRPr="00956BA2">
        <w:rPr>
          <w:rFonts w:cstheme="minorHAnsi"/>
        </w:rPr>
        <w:t xml:space="preserve">arliament (2019) </w:t>
      </w:r>
    </w:p>
    <w:p w14:paraId="4B27E190" w14:textId="25577CEF" w:rsidR="00632BC6" w:rsidRPr="00956BA2" w:rsidRDefault="000B1275" w:rsidP="005C0AA6">
      <w:pPr>
        <w:pStyle w:val="NormalWeb"/>
        <w:shd w:val="clear" w:color="auto" w:fill="FFFFFF"/>
        <w:spacing w:line="360" w:lineRule="auto"/>
        <w:ind w:left="510" w:right="510"/>
        <w:jc w:val="both"/>
        <w:rPr>
          <w:rFonts w:asciiTheme="minorHAnsi" w:hAnsiTheme="minorHAnsi" w:cstheme="minorHAnsi"/>
          <w:color w:val="666666"/>
          <w:sz w:val="22"/>
          <w:szCs w:val="22"/>
        </w:rPr>
      </w:pPr>
      <w:r w:rsidRPr="00956BA2">
        <w:rPr>
          <w:rFonts w:asciiTheme="minorHAnsi" w:hAnsiTheme="minorHAnsi" w:cstheme="minorHAnsi"/>
          <w:sz w:val="22"/>
          <w:szCs w:val="22"/>
        </w:rPr>
        <w:t xml:space="preserve"> </w:t>
      </w:r>
      <w:r w:rsidR="001A7525" w:rsidRPr="00956BA2">
        <w:rPr>
          <w:rFonts w:asciiTheme="minorHAnsi" w:hAnsiTheme="minorHAnsi" w:cstheme="minorHAnsi"/>
          <w:sz w:val="22"/>
          <w:szCs w:val="22"/>
        </w:rPr>
        <w:t>“</w:t>
      </w:r>
      <w:r w:rsidR="008220AA" w:rsidRPr="00956BA2">
        <w:rPr>
          <w:rFonts w:asciiTheme="minorHAnsi" w:hAnsiTheme="minorHAnsi" w:cstheme="minorHAnsi"/>
          <w:color w:val="666666"/>
          <w:sz w:val="22"/>
          <w:szCs w:val="22"/>
        </w:rPr>
        <w:t xml:space="preserve">Calls on the </w:t>
      </w:r>
      <w:r w:rsidR="00F91D46" w:rsidRPr="00956BA2">
        <w:rPr>
          <w:rFonts w:asciiTheme="minorHAnsi" w:hAnsiTheme="minorHAnsi" w:cstheme="minorHAnsi"/>
          <w:color w:val="666666"/>
          <w:sz w:val="22"/>
          <w:szCs w:val="22"/>
        </w:rPr>
        <w:t xml:space="preserve">(European) </w:t>
      </w:r>
      <w:r w:rsidR="008220AA" w:rsidRPr="00956BA2">
        <w:rPr>
          <w:rFonts w:asciiTheme="minorHAnsi" w:hAnsiTheme="minorHAnsi" w:cstheme="minorHAnsi"/>
          <w:color w:val="666666"/>
          <w:sz w:val="22"/>
          <w:szCs w:val="22"/>
        </w:rPr>
        <w:t>Commission to set up a dedicated team within the relevant services, with a specific focus on Afrophobia issues;</w:t>
      </w:r>
      <w:r w:rsidR="00F91D46" w:rsidRPr="00956BA2">
        <w:rPr>
          <w:rFonts w:asciiTheme="minorHAnsi" w:hAnsiTheme="minorHAnsi" w:cstheme="minorHAnsi"/>
          <w:color w:val="666666"/>
          <w:sz w:val="22"/>
          <w:szCs w:val="22"/>
        </w:rPr>
        <w:t xml:space="preserve"> </w:t>
      </w:r>
      <w:r w:rsidR="001A7525" w:rsidRPr="00956BA2">
        <w:rPr>
          <w:rFonts w:asciiTheme="minorHAnsi" w:hAnsiTheme="minorHAnsi" w:cstheme="minorHAnsi"/>
          <w:color w:val="666666"/>
          <w:sz w:val="22"/>
          <w:szCs w:val="22"/>
        </w:rPr>
        <w:t xml:space="preserve">(and) </w:t>
      </w:r>
      <w:r w:rsidR="008220AA" w:rsidRPr="00956BA2">
        <w:rPr>
          <w:rFonts w:asciiTheme="minorHAnsi" w:hAnsiTheme="minorHAnsi" w:cstheme="minorHAnsi"/>
          <w:color w:val="666666"/>
          <w:sz w:val="22"/>
          <w:szCs w:val="22"/>
        </w:rPr>
        <w:t>Insists that Member States implement and properly enforce the Council Framework Decision on combating certain forms and expressions of racism and xenophobia by means of criminal law, in particular the inclusion of bias motivations for crimes based on race, national or ethnic origin</w:t>
      </w:r>
      <w:r w:rsidR="00F528E1">
        <w:rPr>
          <w:rFonts w:asciiTheme="minorHAnsi" w:hAnsiTheme="minorHAnsi" w:cstheme="minorHAnsi"/>
          <w:color w:val="666666"/>
          <w:sz w:val="22"/>
          <w:szCs w:val="22"/>
        </w:rPr>
        <w:t>,</w:t>
      </w:r>
      <w:r w:rsidR="008220AA" w:rsidRPr="00956BA2">
        <w:rPr>
          <w:rFonts w:asciiTheme="minorHAnsi" w:hAnsiTheme="minorHAnsi" w:cstheme="minorHAnsi"/>
          <w:color w:val="666666"/>
          <w:sz w:val="22"/>
          <w:szCs w:val="22"/>
        </w:rPr>
        <w:t xml:space="preserve"> as an aggravating factor to ensure that hate crimes against people of African descent are recorded, investigated, prosecuted</w:t>
      </w:r>
      <w:r w:rsidR="009A12A0">
        <w:rPr>
          <w:rFonts w:asciiTheme="minorHAnsi" w:hAnsiTheme="minorHAnsi" w:cstheme="minorHAnsi"/>
          <w:color w:val="666666"/>
          <w:sz w:val="22"/>
          <w:szCs w:val="22"/>
        </w:rPr>
        <w:t>,</w:t>
      </w:r>
      <w:r w:rsidR="008220AA" w:rsidRPr="00956BA2">
        <w:rPr>
          <w:rFonts w:asciiTheme="minorHAnsi" w:hAnsiTheme="minorHAnsi" w:cstheme="minorHAnsi"/>
          <w:color w:val="666666"/>
          <w:sz w:val="22"/>
          <w:szCs w:val="22"/>
        </w:rPr>
        <w:t xml:space="preserve"> and sanctioned</w:t>
      </w:r>
      <w:r w:rsidR="00A16363">
        <w:rPr>
          <w:rFonts w:asciiTheme="minorHAnsi" w:hAnsiTheme="minorHAnsi" w:cstheme="minorHAnsi"/>
          <w:color w:val="666666"/>
          <w:sz w:val="22"/>
          <w:szCs w:val="22"/>
        </w:rPr>
        <w:t>.</w:t>
      </w:r>
      <w:r w:rsidR="001A7525" w:rsidRPr="00956BA2">
        <w:rPr>
          <w:rFonts w:asciiTheme="minorHAnsi" w:hAnsiTheme="minorHAnsi" w:cstheme="minorHAnsi"/>
          <w:color w:val="666666"/>
          <w:sz w:val="22"/>
          <w:szCs w:val="22"/>
        </w:rPr>
        <w:t>”</w:t>
      </w:r>
    </w:p>
    <w:p w14:paraId="594FB6D1" w14:textId="0EAD4900" w:rsidR="006C4D58" w:rsidRPr="00956BA2" w:rsidRDefault="009A12A0" w:rsidP="006C4D58">
      <w:pPr>
        <w:pStyle w:val="NormalWeb"/>
        <w:shd w:val="clear" w:color="auto" w:fill="FFFFFF"/>
        <w:spacing w:line="360" w:lineRule="auto"/>
        <w:ind w:right="510"/>
        <w:jc w:val="both"/>
        <w:rPr>
          <w:rFonts w:asciiTheme="minorHAnsi" w:hAnsiTheme="minorHAnsi" w:cstheme="minorHAnsi"/>
          <w:color w:val="666666"/>
          <w:sz w:val="22"/>
          <w:szCs w:val="22"/>
        </w:rPr>
      </w:pPr>
      <w:r>
        <w:rPr>
          <w:rFonts w:asciiTheme="minorHAnsi" w:hAnsiTheme="minorHAnsi" w:cstheme="minorHAnsi"/>
          <w:sz w:val="22"/>
          <w:szCs w:val="22"/>
        </w:rPr>
        <w:t>F</w:t>
      </w:r>
      <w:r w:rsidR="00337AA3" w:rsidRPr="00956BA2">
        <w:rPr>
          <w:rFonts w:asciiTheme="minorHAnsi" w:hAnsiTheme="minorHAnsi" w:cstheme="minorHAnsi"/>
          <w:sz w:val="22"/>
          <w:szCs w:val="22"/>
        </w:rPr>
        <w:t xml:space="preserve">ollowing the </w:t>
      </w:r>
      <w:r w:rsidR="00845E9A" w:rsidRPr="00956BA2">
        <w:rPr>
          <w:rFonts w:asciiTheme="minorHAnsi" w:hAnsiTheme="minorHAnsi" w:cstheme="minorHAnsi"/>
          <w:sz w:val="22"/>
          <w:szCs w:val="22"/>
        </w:rPr>
        <w:t>brutal</w:t>
      </w:r>
      <w:r w:rsidR="00337AA3" w:rsidRPr="00956BA2">
        <w:rPr>
          <w:rFonts w:asciiTheme="minorHAnsi" w:hAnsiTheme="minorHAnsi" w:cstheme="minorHAnsi"/>
          <w:sz w:val="22"/>
          <w:szCs w:val="22"/>
        </w:rPr>
        <w:t xml:space="preserve"> murder of Geo</w:t>
      </w:r>
      <w:r w:rsidR="002A3484" w:rsidRPr="00956BA2">
        <w:rPr>
          <w:rFonts w:asciiTheme="minorHAnsi" w:hAnsiTheme="minorHAnsi" w:cstheme="minorHAnsi"/>
          <w:sz w:val="22"/>
          <w:szCs w:val="22"/>
        </w:rPr>
        <w:t xml:space="preserve">rge Floyd in 2020, and ensuing global protests, </w:t>
      </w:r>
      <w:r>
        <w:rPr>
          <w:rFonts w:asciiTheme="minorHAnsi" w:hAnsiTheme="minorHAnsi" w:cstheme="minorHAnsi"/>
          <w:sz w:val="22"/>
          <w:szCs w:val="22"/>
        </w:rPr>
        <w:t xml:space="preserve">the </w:t>
      </w:r>
      <w:r w:rsidR="004D2C4E" w:rsidRPr="00956BA2">
        <w:rPr>
          <w:rFonts w:asciiTheme="minorHAnsi" w:hAnsiTheme="minorHAnsi" w:cstheme="minorHAnsi"/>
          <w:sz w:val="22"/>
          <w:szCs w:val="22"/>
        </w:rPr>
        <w:t>UN</w:t>
      </w:r>
      <w:r w:rsidR="00337AA3" w:rsidRPr="00956BA2">
        <w:rPr>
          <w:rFonts w:asciiTheme="minorHAnsi" w:hAnsiTheme="minorHAnsi" w:cstheme="minorHAnsi"/>
          <w:sz w:val="22"/>
          <w:szCs w:val="22"/>
        </w:rPr>
        <w:t xml:space="preserve"> Human Rights Commissioner </w:t>
      </w:r>
      <w:r>
        <w:rPr>
          <w:rFonts w:asciiTheme="minorHAnsi" w:hAnsiTheme="minorHAnsi" w:cstheme="minorHAnsi"/>
          <w:sz w:val="22"/>
          <w:szCs w:val="22"/>
        </w:rPr>
        <w:t xml:space="preserve">Michele Bachelet </w:t>
      </w:r>
      <w:r w:rsidR="00A37399" w:rsidRPr="00956BA2">
        <w:rPr>
          <w:rFonts w:asciiTheme="minorHAnsi" w:hAnsiTheme="minorHAnsi" w:cstheme="minorHAnsi"/>
          <w:sz w:val="22"/>
          <w:szCs w:val="22"/>
        </w:rPr>
        <w:t>stated</w:t>
      </w:r>
      <w:r w:rsidR="00833C60" w:rsidRPr="00956BA2">
        <w:rPr>
          <w:rFonts w:asciiTheme="minorHAnsi" w:hAnsiTheme="minorHAnsi" w:cstheme="minorHAnsi"/>
          <w:sz w:val="22"/>
          <w:szCs w:val="22"/>
        </w:rPr>
        <w:t>,</w:t>
      </w:r>
      <w:r w:rsidR="00337AA3" w:rsidRPr="00956BA2">
        <w:rPr>
          <w:rFonts w:asciiTheme="minorHAnsi" w:hAnsiTheme="minorHAnsi" w:cstheme="minorHAnsi"/>
          <w:sz w:val="22"/>
          <w:szCs w:val="22"/>
        </w:rPr>
        <w:t xml:space="preserve"> </w:t>
      </w:r>
      <w:r w:rsidR="00A37399" w:rsidRPr="00956BA2">
        <w:rPr>
          <w:rFonts w:asciiTheme="minorHAnsi" w:hAnsiTheme="minorHAnsi" w:cstheme="minorHAnsi"/>
          <w:sz w:val="22"/>
          <w:szCs w:val="22"/>
        </w:rPr>
        <w:t>“</w:t>
      </w:r>
      <w:r w:rsidR="002A3484" w:rsidRPr="008662F8">
        <w:rPr>
          <w:rFonts w:asciiTheme="minorHAnsi" w:hAnsiTheme="minorHAnsi" w:cstheme="minorHAnsi"/>
          <w:i/>
          <w:iCs/>
          <w:color w:val="231F20"/>
          <w:spacing w:val="3"/>
          <w:sz w:val="22"/>
          <w:szCs w:val="22"/>
          <w:shd w:val="clear" w:color="auto" w:fill="FFFFFF"/>
        </w:rPr>
        <w:t>no State has comprehensively accounted for the past or for the current impact of systemic racism</w:t>
      </w:r>
      <w:r w:rsidR="00AC5985">
        <w:rPr>
          <w:rFonts w:asciiTheme="minorHAnsi" w:hAnsiTheme="minorHAnsi" w:cstheme="minorHAnsi"/>
          <w:i/>
          <w:iCs/>
          <w:color w:val="231F20"/>
          <w:spacing w:val="3"/>
          <w:sz w:val="22"/>
          <w:szCs w:val="22"/>
          <w:shd w:val="clear" w:color="auto" w:fill="FFFFFF"/>
        </w:rPr>
        <w:t>,</w:t>
      </w:r>
      <w:r w:rsidR="002A3484" w:rsidRPr="00956BA2">
        <w:rPr>
          <w:rFonts w:asciiTheme="minorHAnsi" w:hAnsiTheme="minorHAnsi" w:cstheme="minorHAnsi"/>
          <w:color w:val="231F20"/>
          <w:spacing w:val="3"/>
          <w:sz w:val="22"/>
          <w:szCs w:val="22"/>
          <w:shd w:val="clear" w:color="auto" w:fill="FFFFFF"/>
        </w:rPr>
        <w:t>” and called for a “transformative agenda” to uproot systemic racism and address law enforcement violence against Black people and people of African descent</w:t>
      </w:r>
      <w:r w:rsidR="00A37399" w:rsidRPr="00956BA2">
        <w:rPr>
          <w:rFonts w:asciiTheme="minorHAnsi" w:hAnsiTheme="minorHAnsi" w:cstheme="minorHAnsi"/>
          <w:color w:val="231F20"/>
          <w:spacing w:val="3"/>
          <w:sz w:val="22"/>
          <w:szCs w:val="22"/>
          <w:shd w:val="clear" w:color="auto" w:fill="FFFFFF"/>
        </w:rPr>
        <w:t>” (</w:t>
      </w:r>
      <w:proofErr w:type="spellStart"/>
      <w:r w:rsidR="00845E9A">
        <w:rPr>
          <w:rFonts w:asciiTheme="minorHAnsi" w:hAnsiTheme="minorHAnsi" w:cstheme="minorHAnsi"/>
          <w:color w:val="231F20"/>
          <w:spacing w:val="3"/>
          <w:sz w:val="22"/>
          <w:szCs w:val="22"/>
          <w:shd w:val="clear" w:color="auto" w:fill="FFFFFF"/>
        </w:rPr>
        <w:t>Eldabh</w:t>
      </w:r>
      <w:proofErr w:type="spellEnd"/>
      <w:r w:rsidR="00845E9A">
        <w:rPr>
          <w:rFonts w:asciiTheme="minorHAnsi" w:hAnsiTheme="minorHAnsi" w:cstheme="minorHAnsi"/>
          <w:color w:val="231F20"/>
          <w:spacing w:val="3"/>
          <w:sz w:val="22"/>
          <w:szCs w:val="22"/>
          <w:shd w:val="clear" w:color="auto" w:fill="FFFFFF"/>
        </w:rPr>
        <w:t xml:space="preserve"> &amp; </w:t>
      </w:r>
      <w:proofErr w:type="spellStart"/>
      <w:r w:rsidR="00A37399" w:rsidRPr="00956BA2">
        <w:rPr>
          <w:rFonts w:asciiTheme="minorHAnsi" w:hAnsiTheme="minorHAnsi" w:cstheme="minorHAnsi"/>
          <w:color w:val="231F20"/>
          <w:spacing w:val="3"/>
          <w:sz w:val="22"/>
          <w:szCs w:val="22"/>
          <w:shd w:val="clear" w:color="auto" w:fill="FFFFFF"/>
        </w:rPr>
        <w:t>Dakwar</w:t>
      </w:r>
      <w:proofErr w:type="spellEnd"/>
      <w:r w:rsidR="00A37399" w:rsidRPr="00956BA2">
        <w:rPr>
          <w:rFonts w:asciiTheme="minorHAnsi" w:hAnsiTheme="minorHAnsi" w:cstheme="minorHAnsi"/>
          <w:color w:val="231F20"/>
          <w:spacing w:val="3"/>
          <w:sz w:val="22"/>
          <w:szCs w:val="22"/>
          <w:shd w:val="clear" w:color="auto" w:fill="FFFFFF"/>
        </w:rPr>
        <w:t>, 2021</w:t>
      </w:r>
      <w:r w:rsidR="00663839" w:rsidRPr="00956BA2">
        <w:rPr>
          <w:rFonts w:asciiTheme="minorHAnsi" w:hAnsiTheme="minorHAnsi" w:cstheme="minorHAnsi"/>
          <w:color w:val="231F20"/>
          <w:spacing w:val="3"/>
          <w:sz w:val="22"/>
          <w:szCs w:val="22"/>
          <w:shd w:val="clear" w:color="auto" w:fill="FFFFFF"/>
        </w:rPr>
        <w:t>).</w:t>
      </w:r>
    </w:p>
    <w:p w14:paraId="00FECB94" w14:textId="77777777" w:rsidR="008418D6" w:rsidRPr="00956BA2" w:rsidRDefault="008418D6" w:rsidP="007100C8">
      <w:pPr>
        <w:shd w:val="clear" w:color="auto" w:fill="FFFFFF"/>
        <w:spacing w:before="120" w:after="120" w:line="360" w:lineRule="auto"/>
        <w:jc w:val="both"/>
        <w:rPr>
          <w:rFonts w:cstheme="minorHAnsi"/>
          <w:color w:val="000000"/>
        </w:rPr>
      </w:pPr>
    </w:p>
    <w:p w14:paraId="787E486F" w14:textId="347C5DBE" w:rsidR="005D474E" w:rsidRDefault="00D9403D" w:rsidP="007100C8">
      <w:pPr>
        <w:shd w:val="clear" w:color="auto" w:fill="FFFFFF"/>
        <w:spacing w:before="120" w:after="120" w:line="360" w:lineRule="auto"/>
        <w:jc w:val="both"/>
      </w:pPr>
      <w:r>
        <w:rPr>
          <w:rFonts w:cstheme="minorHAnsi"/>
          <w:color w:val="000000"/>
        </w:rPr>
        <w:lastRenderedPageBreak/>
        <w:t>Similarly, t</w:t>
      </w:r>
      <w:r w:rsidR="00506F02" w:rsidRPr="00956BA2">
        <w:rPr>
          <w:rFonts w:cstheme="minorHAnsi"/>
          <w:color w:val="000000"/>
        </w:rPr>
        <w:t>he</w:t>
      </w:r>
      <w:r w:rsidR="00506F02" w:rsidRPr="00956BA2">
        <w:rPr>
          <w:rFonts w:cstheme="minorHAnsi"/>
          <w:i/>
          <w:iCs/>
          <w:color w:val="000000"/>
        </w:rPr>
        <w:t xml:space="preserve"> critique of liberalism </w:t>
      </w:r>
      <w:r w:rsidR="00506F02" w:rsidRPr="00956BA2">
        <w:rPr>
          <w:rFonts w:cstheme="minorHAnsi"/>
          <w:color w:val="000000"/>
        </w:rPr>
        <w:t xml:space="preserve">is </w:t>
      </w:r>
      <w:r w:rsidR="006A0B4C" w:rsidRPr="00956BA2">
        <w:rPr>
          <w:rFonts w:cstheme="minorHAnsi"/>
          <w:color w:val="000000"/>
        </w:rPr>
        <w:t>CRT’s</w:t>
      </w:r>
      <w:r w:rsidR="00506F02" w:rsidRPr="00956BA2">
        <w:rPr>
          <w:rFonts w:cstheme="minorHAnsi"/>
          <w:color w:val="000000"/>
        </w:rPr>
        <w:t xml:space="preserve"> central tenet which advocates emancipatory praxis to dismantle oppressive, unequitable</w:t>
      </w:r>
      <w:r w:rsidR="003E59B0" w:rsidRPr="00956BA2">
        <w:rPr>
          <w:rFonts w:cstheme="minorHAnsi"/>
          <w:color w:val="000000"/>
        </w:rPr>
        <w:t>,</w:t>
      </w:r>
      <w:r w:rsidR="00506F02" w:rsidRPr="00956BA2">
        <w:rPr>
          <w:rFonts w:cstheme="minorHAnsi"/>
          <w:color w:val="000000"/>
        </w:rPr>
        <w:t xml:space="preserve"> neoliberal intersections of race and property.  These intersections include education and employment policies derived from the “economic pull” of neo-colonial hegemony and imperialist capitalism, in opposition to </w:t>
      </w:r>
      <w:proofErr w:type="spellStart"/>
      <w:r w:rsidR="00506F02" w:rsidRPr="00956BA2">
        <w:rPr>
          <w:rFonts w:cstheme="minorHAnsi"/>
          <w:color w:val="000000"/>
        </w:rPr>
        <w:t>Afrikan</w:t>
      </w:r>
      <w:proofErr w:type="spellEnd"/>
      <w:r w:rsidR="00506F02" w:rsidRPr="00956BA2">
        <w:rPr>
          <w:rFonts w:cstheme="minorHAnsi"/>
          <w:color w:val="000000"/>
        </w:rPr>
        <w:t xml:space="preserve"> stories and narratives of intergenerational systemic racism</w:t>
      </w:r>
      <w:r w:rsidR="00985A2D">
        <w:rPr>
          <w:rFonts w:cstheme="minorHAnsi"/>
          <w:color w:val="000000"/>
        </w:rPr>
        <w:t>. For example,</w:t>
      </w:r>
      <w:r w:rsidR="00A20E12" w:rsidRPr="00956BA2">
        <w:rPr>
          <w:rFonts w:cstheme="minorHAnsi"/>
        </w:rPr>
        <w:t xml:space="preserve"> </w:t>
      </w:r>
      <w:r w:rsidR="00A20E12" w:rsidRPr="00956BA2">
        <w:rPr>
          <w:rFonts w:cstheme="minorHAnsi"/>
          <w:i/>
          <w:iCs/>
        </w:rPr>
        <w:t xml:space="preserve">suspensions or exclusions </w:t>
      </w:r>
      <w:r w:rsidR="001D324D" w:rsidRPr="00956BA2">
        <w:rPr>
          <w:rFonts w:cstheme="minorHAnsi"/>
        </w:rPr>
        <w:t>(in education)</w:t>
      </w:r>
      <w:r w:rsidR="001D324D" w:rsidRPr="00956BA2">
        <w:rPr>
          <w:rFonts w:cstheme="minorHAnsi"/>
          <w:i/>
          <w:iCs/>
        </w:rPr>
        <w:t xml:space="preserve"> </w:t>
      </w:r>
      <w:r w:rsidR="00A20E12" w:rsidRPr="00956BA2">
        <w:rPr>
          <w:rFonts w:cstheme="minorHAnsi"/>
          <w:i/>
          <w:iCs/>
        </w:rPr>
        <w:t>dismissing young people to a commercial world where there are few second chances</w:t>
      </w:r>
      <w:r w:rsidR="003F1156">
        <w:rPr>
          <w:rFonts w:cstheme="minorHAnsi"/>
          <w:i/>
          <w:iCs/>
        </w:rPr>
        <w:t>,</w:t>
      </w:r>
      <w:r w:rsidR="00A20E12" w:rsidRPr="00956BA2">
        <w:rPr>
          <w:rFonts w:cstheme="minorHAnsi"/>
          <w:i/>
          <w:iCs/>
        </w:rPr>
        <w:t xml:space="preserve"> and the slippery road into the hands of the police is clearly marked through local gangs and street corner talk about making big money</w:t>
      </w:r>
      <w:r w:rsidR="001D324D" w:rsidRPr="00956BA2">
        <w:rPr>
          <w:rFonts w:cstheme="minorHAnsi"/>
        </w:rPr>
        <w:t>.</w:t>
      </w:r>
      <w:r w:rsidR="00A65DA0">
        <w:t xml:space="preserve"> </w:t>
      </w:r>
      <w:r w:rsidR="003D31A5">
        <w:t>T</w:t>
      </w:r>
      <w:r w:rsidR="00286909">
        <w:t>he George Floyd Resolution</w:t>
      </w:r>
      <w:r w:rsidR="00CD3F66">
        <w:t xml:space="preserve"> </w:t>
      </w:r>
      <w:r w:rsidR="005D474E">
        <w:t>acknowledges,</w:t>
      </w:r>
    </w:p>
    <w:p w14:paraId="441E5AC1" w14:textId="4542D99F" w:rsidR="00E83D4E" w:rsidRPr="00956BA2" w:rsidRDefault="003D31A5" w:rsidP="005D474E">
      <w:pPr>
        <w:shd w:val="clear" w:color="auto" w:fill="FFFFFF"/>
        <w:spacing w:before="120" w:after="120" w:line="360" w:lineRule="auto"/>
        <w:ind w:left="510" w:right="510"/>
        <w:jc w:val="both"/>
        <w:rPr>
          <w:rFonts w:cstheme="minorHAnsi"/>
        </w:rPr>
      </w:pPr>
      <w:r>
        <w:t>“</w:t>
      </w:r>
      <w:r w:rsidR="0004587D">
        <w:t>There</w:t>
      </w:r>
      <w:r w:rsidR="00A47605">
        <w:t xml:space="preserve"> is an increasing willingness and emerging practice to acknowledge the need to repair the continuing impact of enslavement, the transatlantic trade in enslaved Africans and colonialism, and inviting States to seize opportunities to advance the anti-racism agenda, to prioritize attaining racial equity in implementing the 2030 Agenda, and to ensure that people of African descent are not left behind</w:t>
      </w:r>
      <w:r>
        <w:t>”</w:t>
      </w:r>
      <w:r w:rsidR="00AB5C22">
        <w:t xml:space="preserve"> (HRC</w:t>
      </w:r>
      <w:r w:rsidR="00D70337">
        <w:t>, 2021, p.</w:t>
      </w:r>
      <w:r w:rsidR="007B0D72">
        <w:t>2)</w:t>
      </w:r>
      <w:r w:rsidR="0004587D">
        <w:t>.</w:t>
      </w:r>
    </w:p>
    <w:p w14:paraId="781B4C20" w14:textId="77777777" w:rsidR="00D9403D" w:rsidRDefault="00D9403D" w:rsidP="007100C8">
      <w:pPr>
        <w:shd w:val="clear" w:color="auto" w:fill="FFFFFF"/>
        <w:spacing w:before="120" w:after="120" w:line="360" w:lineRule="auto"/>
        <w:jc w:val="both"/>
        <w:rPr>
          <w:rFonts w:cstheme="minorHAnsi"/>
          <w:color w:val="000000"/>
        </w:rPr>
      </w:pPr>
    </w:p>
    <w:p w14:paraId="57734B27" w14:textId="36408AF5" w:rsidR="007100C8" w:rsidRPr="00956BA2" w:rsidRDefault="003F1156" w:rsidP="007100C8">
      <w:pPr>
        <w:shd w:val="clear" w:color="auto" w:fill="FFFFFF"/>
        <w:spacing w:before="120" w:after="120" w:line="360" w:lineRule="auto"/>
        <w:jc w:val="both"/>
        <w:rPr>
          <w:rFonts w:cstheme="minorHAnsi"/>
          <w:color w:val="000000"/>
        </w:rPr>
      </w:pPr>
      <w:r>
        <w:rPr>
          <w:rFonts w:cstheme="minorHAnsi"/>
          <w:color w:val="000000"/>
        </w:rPr>
        <w:t>In that regard</w:t>
      </w:r>
      <w:r w:rsidR="0004587D">
        <w:rPr>
          <w:rFonts w:cstheme="minorHAnsi"/>
          <w:color w:val="000000"/>
        </w:rPr>
        <w:t>, r</w:t>
      </w:r>
      <w:r w:rsidR="007100C8" w:rsidRPr="00956BA2">
        <w:rPr>
          <w:rFonts w:cstheme="minorHAnsi"/>
          <w:color w:val="000000"/>
        </w:rPr>
        <w:t>eparatory justice in educational settings is</w:t>
      </w:r>
      <w:r w:rsidR="00E83D4E" w:rsidRPr="00956BA2">
        <w:rPr>
          <w:rFonts w:cstheme="minorHAnsi"/>
          <w:color w:val="000000"/>
        </w:rPr>
        <w:t xml:space="preserve"> </w:t>
      </w:r>
      <w:r w:rsidR="007100C8" w:rsidRPr="00956BA2">
        <w:rPr>
          <w:rFonts w:cstheme="minorHAnsi"/>
          <w:color w:val="000000"/>
        </w:rPr>
        <w:t xml:space="preserve">exemplified </w:t>
      </w:r>
      <w:r w:rsidR="007B0D72">
        <w:rPr>
          <w:rFonts w:cstheme="minorHAnsi"/>
          <w:color w:val="000000"/>
        </w:rPr>
        <w:t>by</w:t>
      </w:r>
      <w:r w:rsidR="007100C8" w:rsidRPr="00956BA2">
        <w:rPr>
          <w:rFonts w:cstheme="minorHAnsi"/>
          <w:color w:val="000000"/>
        </w:rPr>
        <w:t xml:space="preserve"> </w:t>
      </w:r>
      <w:r w:rsidR="0004587D">
        <w:rPr>
          <w:rFonts w:cstheme="minorHAnsi"/>
          <w:color w:val="000000"/>
        </w:rPr>
        <w:t xml:space="preserve">educational </w:t>
      </w:r>
      <w:r w:rsidR="007100C8" w:rsidRPr="00956BA2">
        <w:rPr>
          <w:rFonts w:cstheme="minorHAnsi"/>
          <w:color w:val="000000"/>
        </w:rPr>
        <w:t xml:space="preserve">curricula and policies inclusive of </w:t>
      </w:r>
      <w:proofErr w:type="spellStart"/>
      <w:r w:rsidR="007100C8" w:rsidRPr="00956BA2">
        <w:rPr>
          <w:rFonts w:cstheme="minorHAnsi"/>
          <w:color w:val="000000"/>
        </w:rPr>
        <w:t>Afrikan</w:t>
      </w:r>
      <w:proofErr w:type="spellEnd"/>
      <w:r w:rsidR="007100C8" w:rsidRPr="00956BA2">
        <w:rPr>
          <w:rFonts w:cstheme="minorHAnsi"/>
          <w:color w:val="000000"/>
        </w:rPr>
        <w:t xml:space="preserve"> cultural heritage. France’s </w:t>
      </w:r>
      <w:proofErr w:type="spellStart"/>
      <w:r w:rsidR="007100C8" w:rsidRPr="00956BA2">
        <w:rPr>
          <w:rFonts w:cstheme="minorHAnsi"/>
          <w:color w:val="000000"/>
        </w:rPr>
        <w:t>Loi</w:t>
      </w:r>
      <w:proofErr w:type="spellEnd"/>
      <w:r w:rsidR="007100C8" w:rsidRPr="00956BA2">
        <w:rPr>
          <w:rFonts w:cstheme="minorHAnsi"/>
          <w:color w:val="000000"/>
        </w:rPr>
        <w:t xml:space="preserve"> </w:t>
      </w:r>
      <w:proofErr w:type="spellStart"/>
      <w:r w:rsidR="007100C8" w:rsidRPr="00956BA2">
        <w:rPr>
          <w:rFonts w:cstheme="minorHAnsi"/>
          <w:color w:val="000000"/>
        </w:rPr>
        <w:t>Taubira</w:t>
      </w:r>
      <w:proofErr w:type="spellEnd"/>
      <w:r w:rsidR="007100C8" w:rsidRPr="00956BA2">
        <w:rPr>
          <w:rFonts w:cstheme="minorHAnsi"/>
          <w:color w:val="000000"/>
        </w:rPr>
        <w:t xml:space="preserve"> acknowledges the transatlantic trade of enslaved Africans as a breach of universal human rights</w:t>
      </w:r>
      <w:r w:rsidR="00580F5E" w:rsidRPr="00956BA2">
        <w:rPr>
          <w:rFonts w:cstheme="minorHAnsi"/>
          <w:color w:val="000000"/>
        </w:rPr>
        <w:t>; and n</w:t>
      </w:r>
      <w:r w:rsidR="007100C8" w:rsidRPr="00956BA2">
        <w:rPr>
          <w:rFonts w:cstheme="minorHAnsi"/>
          <w:color w:val="000000"/>
        </w:rPr>
        <w:t>arratives on the unrepresentativeness of educational curricula ar</w:t>
      </w:r>
      <w:r w:rsidR="00580F5E" w:rsidRPr="00956BA2">
        <w:rPr>
          <w:rFonts w:cstheme="minorHAnsi"/>
          <w:color w:val="000000"/>
        </w:rPr>
        <w:t>e</w:t>
      </w:r>
      <w:r w:rsidR="00085383" w:rsidRPr="00956BA2">
        <w:rPr>
          <w:rFonts w:cstheme="minorHAnsi"/>
          <w:color w:val="000000"/>
        </w:rPr>
        <w:t xml:space="preserve"> </w:t>
      </w:r>
      <w:r w:rsidR="007100C8" w:rsidRPr="00956BA2">
        <w:rPr>
          <w:rFonts w:cstheme="minorHAnsi"/>
          <w:color w:val="000000"/>
        </w:rPr>
        <w:t>warranted by Art</w:t>
      </w:r>
      <w:r w:rsidR="006963CB">
        <w:rPr>
          <w:rFonts w:cstheme="minorHAnsi"/>
          <w:color w:val="000000"/>
        </w:rPr>
        <w:t>.</w:t>
      </w:r>
      <w:r w:rsidR="007100C8" w:rsidRPr="00956BA2">
        <w:rPr>
          <w:rFonts w:cstheme="minorHAnsi"/>
          <w:color w:val="000000"/>
        </w:rPr>
        <w:t xml:space="preserve"> 106 of the Durban Declaration and Plan of Action (DDPA) 2001 which </w:t>
      </w:r>
    </w:p>
    <w:p w14:paraId="7D16FA72" w14:textId="77777777" w:rsidR="007100C8" w:rsidRPr="00956BA2" w:rsidRDefault="007100C8" w:rsidP="007100C8">
      <w:pPr>
        <w:pStyle w:val="NormalWeb"/>
        <w:shd w:val="clear" w:color="auto" w:fill="FFFFFF"/>
        <w:spacing w:before="0" w:beforeAutospacing="0" w:after="150" w:afterAutospacing="0" w:line="360" w:lineRule="auto"/>
        <w:ind w:left="510" w:right="510"/>
        <w:jc w:val="both"/>
        <w:rPr>
          <w:rFonts w:asciiTheme="minorHAnsi" w:hAnsiTheme="minorHAnsi" w:cstheme="minorHAnsi"/>
          <w:color w:val="000000"/>
          <w:sz w:val="22"/>
          <w:szCs w:val="22"/>
        </w:rPr>
      </w:pPr>
      <w:r w:rsidRPr="00956BA2">
        <w:rPr>
          <w:rFonts w:asciiTheme="minorHAnsi" w:hAnsiTheme="minorHAnsi" w:cstheme="minorHAnsi"/>
          <w:color w:val="000000"/>
          <w:sz w:val="22"/>
          <w:szCs w:val="22"/>
        </w:rPr>
        <w:t>“Emphasizes that remembering the crimes or wrongs of the past, (…) and telling the truth about history are essential elements for international reconciliation and the creation of societies based on justice, equality, and solidarity” (WCAR, 2001).</w:t>
      </w:r>
    </w:p>
    <w:p w14:paraId="574E5CDD" w14:textId="77777777" w:rsidR="003C4747" w:rsidRPr="00956BA2" w:rsidRDefault="003C4747" w:rsidP="008D0528">
      <w:pPr>
        <w:shd w:val="clear" w:color="auto" w:fill="FFFFFF"/>
        <w:spacing w:before="120" w:after="120" w:line="360" w:lineRule="auto"/>
        <w:jc w:val="both"/>
        <w:rPr>
          <w:rFonts w:cstheme="minorHAnsi"/>
          <w:color w:val="000000"/>
        </w:rPr>
      </w:pPr>
    </w:p>
    <w:p w14:paraId="0CAB7186" w14:textId="6513E2A2" w:rsidR="00465A36" w:rsidRPr="0004587D" w:rsidRDefault="00842330" w:rsidP="0004587D">
      <w:pPr>
        <w:spacing w:line="360" w:lineRule="auto"/>
        <w:jc w:val="both"/>
        <w:rPr>
          <w:rFonts w:cstheme="minorHAnsi"/>
        </w:rPr>
      </w:pPr>
      <w:r w:rsidRPr="00956BA2">
        <w:rPr>
          <w:rFonts w:cstheme="minorHAnsi"/>
          <w:color w:val="000000"/>
        </w:rPr>
        <w:t>T</w:t>
      </w:r>
      <w:r w:rsidR="00B3733B" w:rsidRPr="00956BA2">
        <w:rPr>
          <w:rFonts w:cstheme="minorHAnsi"/>
          <w:color w:val="000000"/>
        </w:rPr>
        <w:t xml:space="preserve">he broader impact of socioeconomic disparities such as </w:t>
      </w:r>
      <w:r w:rsidR="001E31CB">
        <w:rPr>
          <w:rFonts w:cstheme="minorHAnsi"/>
          <w:color w:val="000000"/>
        </w:rPr>
        <w:t xml:space="preserve">poverty, </w:t>
      </w:r>
      <w:r w:rsidR="00B3733B" w:rsidRPr="00956BA2">
        <w:rPr>
          <w:rFonts w:cstheme="minorHAnsi"/>
          <w:color w:val="000000"/>
        </w:rPr>
        <w:t>poor housing</w:t>
      </w:r>
      <w:r w:rsidR="00BB5091" w:rsidRPr="00956BA2">
        <w:rPr>
          <w:rFonts w:cstheme="minorHAnsi"/>
          <w:color w:val="000000"/>
        </w:rPr>
        <w:t xml:space="preserve"> in environmentally polluted</w:t>
      </w:r>
      <w:r w:rsidR="00833A20" w:rsidRPr="00956BA2">
        <w:rPr>
          <w:rFonts w:cstheme="minorHAnsi"/>
          <w:color w:val="000000"/>
        </w:rPr>
        <w:t xml:space="preserve"> neighbourhoods</w:t>
      </w:r>
      <w:r w:rsidR="00B3733B" w:rsidRPr="00956BA2">
        <w:rPr>
          <w:rFonts w:cstheme="minorHAnsi"/>
          <w:color w:val="000000"/>
        </w:rPr>
        <w:t xml:space="preserve">, </w:t>
      </w:r>
      <w:r w:rsidR="00833A20" w:rsidRPr="00956BA2">
        <w:rPr>
          <w:rFonts w:cstheme="minorHAnsi"/>
          <w:color w:val="000000"/>
        </w:rPr>
        <w:t xml:space="preserve">unequal access to </w:t>
      </w:r>
      <w:r w:rsidR="00B3733B" w:rsidRPr="00956BA2">
        <w:rPr>
          <w:rFonts w:cstheme="minorHAnsi"/>
          <w:color w:val="000000"/>
        </w:rPr>
        <w:t>health</w:t>
      </w:r>
      <w:r w:rsidR="00872350" w:rsidRPr="00956BA2">
        <w:rPr>
          <w:rFonts w:cstheme="minorHAnsi"/>
          <w:color w:val="000000"/>
        </w:rPr>
        <w:t xml:space="preserve"> services</w:t>
      </w:r>
      <w:r w:rsidR="00857129">
        <w:rPr>
          <w:rFonts w:cstheme="minorHAnsi"/>
          <w:color w:val="000000"/>
        </w:rPr>
        <w:t>,</w:t>
      </w:r>
      <w:r w:rsidR="00B3733B" w:rsidRPr="00956BA2">
        <w:rPr>
          <w:rFonts w:cstheme="minorHAnsi"/>
          <w:color w:val="000000"/>
        </w:rPr>
        <w:t xml:space="preserve"> and unemployment</w:t>
      </w:r>
      <w:r w:rsidR="001957AE">
        <w:rPr>
          <w:rFonts w:cstheme="minorHAnsi"/>
          <w:color w:val="000000"/>
        </w:rPr>
        <w:t>,</w:t>
      </w:r>
      <w:r w:rsidR="0052575F" w:rsidRPr="00956BA2">
        <w:rPr>
          <w:rFonts w:cstheme="minorHAnsi"/>
          <w:color w:val="000000"/>
        </w:rPr>
        <w:t xml:space="preserve"> </w:t>
      </w:r>
      <w:r w:rsidR="00D9122A">
        <w:rPr>
          <w:rFonts w:cstheme="minorHAnsi"/>
          <w:color w:val="000000"/>
        </w:rPr>
        <w:t xml:space="preserve">also </w:t>
      </w:r>
      <w:r w:rsidR="0052575F" w:rsidRPr="00956BA2">
        <w:rPr>
          <w:rFonts w:cstheme="minorHAnsi"/>
          <w:color w:val="000000"/>
        </w:rPr>
        <w:t>contributes to criminalisation</w:t>
      </w:r>
      <w:r w:rsidR="00B3733B" w:rsidRPr="00956BA2">
        <w:rPr>
          <w:rFonts w:cstheme="minorHAnsi"/>
          <w:color w:val="000000"/>
        </w:rPr>
        <w:t xml:space="preserve"> and marginalisation of </w:t>
      </w:r>
      <w:proofErr w:type="spellStart"/>
      <w:r w:rsidR="00B3733B" w:rsidRPr="00956BA2">
        <w:rPr>
          <w:rFonts w:cstheme="minorHAnsi"/>
          <w:color w:val="000000"/>
        </w:rPr>
        <w:t>Afri</w:t>
      </w:r>
      <w:r w:rsidR="003E066E" w:rsidRPr="00956BA2">
        <w:rPr>
          <w:rFonts w:cstheme="minorHAnsi"/>
          <w:color w:val="000000"/>
        </w:rPr>
        <w:t>kan</w:t>
      </w:r>
      <w:r w:rsidR="00B3733B" w:rsidRPr="00956BA2">
        <w:rPr>
          <w:rFonts w:cstheme="minorHAnsi"/>
          <w:color w:val="000000"/>
        </w:rPr>
        <w:t>s</w:t>
      </w:r>
      <w:proofErr w:type="spellEnd"/>
      <w:r w:rsidR="00B3733B" w:rsidRPr="00956BA2">
        <w:rPr>
          <w:rFonts w:cstheme="minorHAnsi"/>
          <w:color w:val="000000"/>
        </w:rPr>
        <w:t xml:space="preserve"> from</w:t>
      </w:r>
      <w:r w:rsidR="00E73B69" w:rsidRPr="00956BA2">
        <w:rPr>
          <w:rFonts w:cstheme="minorHAnsi"/>
          <w:color w:val="000000"/>
        </w:rPr>
        <w:t xml:space="preserve"> </w:t>
      </w:r>
      <w:r w:rsidR="00422090">
        <w:rPr>
          <w:rFonts w:cstheme="minorHAnsi"/>
          <w:color w:val="000000"/>
        </w:rPr>
        <w:t xml:space="preserve">universal </w:t>
      </w:r>
      <w:r w:rsidR="00E73B69" w:rsidRPr="00956BA2">
        <w:rPr>
          <w:rFonts w:cstheme="minorHAnsi"/>
          <w:color w:val="000000"/>
        </w:rPr>
        <w:t>human right</w:t>
      </w:r>
      <w:r w:rsidR="00B75BE8">
        <w:rPr>
          <w:rFonts w:cstheme="minorHAnsi"/>
          <w:color w:val="000000"/>
        </w:rPr>
        <w:t>s</w:t>
      </w:r>
      <w:r w:rsidR="00A20E12" w:rsidRPr="00956BA2">
        <w:rPr>
          <w:rFonts w:cstheme="minorHAnsi"/>
        </w:rPr>
        <w:t>.</w:t>
      </w:r>
      <w:r w:rsidR="00845DEF" w:rsidRPr="00956BA2">
        <w:rPr>
          <w:rFonts w:cstheme="minorHAnsi"/>
        </w:rPr>
        <w:t xml:space="preserve"> </w:t>
      </w:r>
      <w:r w:rsidR="00FD1C13">
        <w:rPr>
          <w:rFonts w:cstheme="minorHAnsi"/>
          <w:color w:val="000000"/>
        </w:rPr>
        <w:t>S</w:t>
      </w:r>
      <w:r w:rsidR="00D6168B" w:rsidRPr="00956BA2">
        <w:rPr>
          <w:rFonts w:cstheme="minorHAnsi"/>
          <w:color w:val="000000"/>
        </w:rPr>
        <w:t xml:space="preserve">ocio-economic disadvantage therefore </w:t>
      </w:r>
      <w:r w:rsidR="00192987">
        <w:rPr>
          <w:rFonts w:cstheme="minorHAnsi"/>
          <w:color w:val="000000"/>
        </w:rPr>
        <w:t>both</w:t>
      </w:r>
      <w:r w:rsidR="00D6168B" w:rsidRPr="00956BA2">
        <w:rPr>
          <w:rFonts w:cstheme="minorHAnsi"/>
          <w:color w:val="000000"/>
        </w:rPr>
        <w:t xml:space="preserve"> results from and illustrates intergenerational impacts of </w:t>
      </w:r>
      <w:r w:rsidR="00D9122A" w:rsidRPr="00956BA2">
        <w:rPr>
          <w:rFonts w:cstheme="minorHAnsi"/>
          <w:color w:val="000000"/>
        </w:rPr>
        <w:t>Afrophobia</w:t>
      </w:r>
      <w:r w:rsidR="00D6168B" w:rsidRPr="00956BA2">
        <w:rPr>
          <w:rFonts w:cstheme="minorHAnsi"/>
          <w:color w:val="000000"/>
        </w:rPr>
        <w:t xml:space="preserve">. </w:t>
      </w:r>
      <w:r w:rsidR="00A84273" w:rsidRPr="00956BA2">
        <w:rPr>
          <w:rFonts w:cstheme="minorHAnsi"/>
          <w:color w:val="000000"/>
        </w:rPr>
        <w:t xml:space="preserve">As a result, </w:t>
      </w:r>
      <w:r w:rsidR="00203D92">
        <w:rPr>
          <w:rFonts w:cstheme="minorHAnsi"/>
          <w:color w:val="000000"/>
        </w:rPr>
        <w:t xml:space="preserve">our </w:t>
      </w:r>
      <w:r w:rsidR="00AE5838">
        <w:rPr>
          <w:rFonts w:cstheme="minorHAnsi"/>
          <w:color w:val="000000"/>
        </w:rPr>
        <w:t xml:space="preserve">communities </w:t>
      </w:r>
      <w:r w:rsidR="00AE5838" w:rsidRPr="00956BA2">
        <w:rPr>
          <w:rFonts w:cstheme="minorHAnsi"/>
          <w:color w:val="000000"/>
        </w:rPr>
        <w:t>remain</w:t>
      </w:r>
      <w:r w:rsidR="00A84273" w:rsidRPr="00956BA2">
        <w:rPr>
          <w:rFonts w:cstheme="minorHAnsi"/>
          <w:color w:val="666666"/>
          <w:shd w:val="clear" w:color="auto" w:fill="FFFFFF"/>
        </w:rPr>
        <w:t xml:space="preserve"> </w:t>
      </w:r>
      <w:r w:rsidR="00C27E6A">
        <w:rPr>
          <w:rFonts w:cstheme="minorHAnsi"/>
          <w:color w:val="666666"/>
          <w:shd w:val="clear" w:color="auto" w:fill="FFFFFF"/>
        </w:rPr>
        <w:t>“</w:t>
      </w:r>
      <w:r w:rsidR="00117CBC" w:rsidRPr="00956BA2">
        <w:rPr>
          <w:rFonts w:cstheme="minorHAnsi"/>
          <w:color w:val="666666"/>
          <w:shd w:val="clear" w:color="auto" w:fill="FFFFFF"/>
        </w:rPr>
        <w:t xml:space="preserve">disproportionally </w:t>
      </w:r>
      <w:r w:rsidR="00192987">
        <w:rPr>
          <w:rFonts w:cstheme="minorHAnsi"/>
          <w:color w:val="666666"/>
          <w:shd w:val="clear" w:color="auto" w:fill="FFFFFF"/>
        </w:rPr>
        <w:t>over-</w:t>
      </w:r>
      <w:r w:rsidR="00117CBC" w:rsidRPr="00956BA2">
        <w:rPr>
          <w:rFonts w:cstheme="minorHAnsi"/>
          <w:color w:val="666666"/>
          <w:shd w:val="clear" w:color="auto" w:fill="FFFFFF"/>
        </w:rPr>
        <w:t>represented among the lower- income strata of the European population</w:t>
      </w:r>
      <w:r w:rsidR="00C27E6A">
        <w:rPr>
          <w:rFonts w:cstheme="minorHAnsi"/>
          <w:color w:val="666666"/>
          <w:shd w:val="clear" w:color="auto" w:fill="FFFFFF"/>
        </w:rPr>
        <w:t xml:space="preserve">. </w:t>
      </w:r>
      <w:r w:rsidR="00021A8D" w:rsidRPr="00956BA2">
        <w:rPr>
          <w:rFonts w:cstheme="minorHAnsi"/>
          <w:color w:val="666666"/>
          <w:shd w:val="clear" w:color="auto" w:fill="FFFFFF"/>
        </w:rPr>
        <w:t>S</w:t>
      </w:r>
      <w:r w:rsidR="00803394" w:rsidRPr="00956BA2">
        <w:rPr>
          <w:rFonts w:cstheme="minorHAnsi"/>
          <w:color w:val="666666"/>
          <w:shd w:val="clear" w:color="auto" w:fill="FFFFFF"/>
        </w:rPr>
        <w:t xml:space="preserve">trong and specific policies are </w:t>
      </w:r>
      <w:r w:rsidR="00041796" w:rsidRPr="00956BA2">
        <w:rPr>
          <w:rFonts w:cstheme="minorHAnsi"/>
          <w:color w:val="666666"/>
          <w:shd w:val="clear" w:color="auto" w:fill="FFFFFF"/>
        </w:rPr>
        <w:t>therefore</w:t>
      </w:r>
      <w:r w:rsidR="00021A8D" w:rsidRPr="00956BA2">
        <w:rPr>
          <w:rFonts w:cstheme="minorHAnsi"/>
          <w:color w:val="666666"/>
          <w:shd w:val="clear" w:color="auto" w:fill="FFFFFF"/>
        </w:rPr>
        <w:t xml:space="preserve"> </w:t>
      </w:r>
      <w:r w:rsidR="00803394" w:rsidRPr="00956BA2">
        <w:rPr>
          <w:rFonts w:cstheme="minorHAnsi"/>
          <w:color w:val="666666"/>
          <w:shd w:val="clear" w:color="auto" w:fill="FFFFFF"/>
        </w:rPr>
        <w:t xml:space="preserve">needed to address </w:t>
      </w:r>
      <w:proofErr w:type="spellStart"/>
      <w:r w:rsidR="00994ADE" w:rsidRPr="00956BA2">
        <w:rPr>
          <w:rFonts w:cstheme="minorHAnsi"/>
          <w:color w:val="666666"/>
          <w:shd w:val="clear" w:color="auto" w:fill="FFFFFF"/>
        </w:rPr>
        <w:t>Afriphobia</w:t>
      </w:r>
      <w:proofErr w:type="spellEnd"/>
      <w:r w:rsidR="00803394" w:rsidRPr="00956BA2">
        <w:rPr>
          <w:rFonts w:cstheme="minorHAnsi"/>
          <w:color w:val="666666"/>
          <w:shd w:val="clear" w:color="auto" w:fill="FFFFFF"/>
        </w:rPr>
        <w:t xml:space="preserve"> in</w:t>
      </w:r>
      <w:r w:rsidR="00841B6E" w:rsidRPr="00956BA2">
        <w:rPr>
          <w:rFonts w:cstheme="minorHAnsi"/>
          <w:color w:val="666666"/>
          <w:shd w:val="clear" w:color="auto" w:fill="FFFFFF"/>
        </w:rPr>
        <w:t xml:space="preserve"> </w:t>
      </w:r>
      <w:r w:rsidR="00803394" w:rsidRPr="00956BA2">
        <w:rPr>
          <w:rFonts w:cstheme="minorHAnsi"/>
          <w:color w:val="666666"/>
          <w:shd w:val="clear" w:color="auto" w:fill="FFFFFF"/>
        </w:rPr>
        <w:t>criminal justice</w:t>
      </w:r>
      <w:r w:rsidR="00DF6B99" w:rsidRPr="00956BA2">
        <w:rPr>
          <w:rFonts w:cstheme="minorHAnsi"/>
          <w:color w:val="666666"/>
          <w:shd w:val="clear" w:color="auto" w:fill="FFFFFF"/>
        </w:rPr>
        <w:t>,</w:t>
      </w:r>
      <w:r w:rsidR="00803394" w:rsidRPr="00956BA2">
        <w:rPr>
          <w:rFonts w:cstheme="minorHAnsi"/>
          <w:color w:val="666666"/>
          <w:shd w:val="clear" w:color="auto" w:fill="FFFFFF"/>
        </w:rPr>
        <w:t xml:space="preserve"> political participation and in the impact of migration and asylum policies and practices</w:t>
      </w:r>
      <w:r w:rsidR="00904420" w:rsidRPr="00956BA2">
        <w:rPr>
          <w:rFonts w:cstheme="minorHAnsi"/>
          <w:color w:val="666666"/>
          <w:shd w:val="clear" w:color="auto" w:fill="FFFFFF"/>
        </w:rPr>
        <w:t>” (European Parliament, 2019)</w:t>
      </w:r>
      <w:r w:rsidR="00B42E43" w:rsidRPr="00956BA2">
        <w:rPr>
          <w:rFonts w:cstheme="minorHAnsi"/>
          <w:color w:val="666666"/>
          <w:shd w:val="clear" w:color="auto" w:fill="FFFFFF"/>
        </w:rPr>
        <w:t>.</w:t>
      </w:r>
      <w:r w:rsidR="00E76DBC" w:rsidRPr="00956BA2">
        <w:rPr>
          <w:rFonts w:cstheme="minorHAnsi"/>
          <w:color w:val="666666"/>
          <w:shd w:val="clear" w:color="auto" w:fill="FFFFFF"/>
        </w:rPr>
        <w:t xml:space="preserve"> </w:t>
      </w:r>
    </w:p>
    <w:p w14:paraId="04DBC2DD" w14:textId="1B33BFCB" w:rsidR="00C162D5" w:rsidRPr="00956BA2" w:rsidRDefault="00C162D5" w:rsidP="009933D1">
      <w:pPr>
        <w:pStyle w:val="ListParagraph"/>
        <w:numPr>
          <w:ilvl w:val="0"/>
          <w:numId w:val="3"/>
        </w:numPr>
        <w:shd w:val="clear" w:color="auto" w:fill="FFFFFF"/>
        <w:spacing w:before="120" w:after="120" w:line="360" w:lineRule="auto"/>
        <w:jc w:val="both"/>
        <w:rPr>
          <w:rFonts w:cstheme="minorHAnsi"/>
          <w:b/>
          <w:bCs/>
        </w:rPr>
      </w:pPr>
      <w:r w:rsidRPr="00956BA2">
        <w:rPr>
          <w:rFonts w:cstheme="minorHAnsi"/>
          <w:b/>
          <w:bCs/>
        </w:rPr>
        <w:lastRenderedPageBreak/>
        <w:t>Recommendation</w:t>
      </w:r>
      <w:r w:rsidR="00F90F1E">
        <w:rPr>
          <w:rFonts w:cstheme="minorHAnsi"/>
          <w:b/>
          <w:bCs/>
        </w:rPr>
        <w:t>s</w:t>
      </w:r>
    </w:p>
    <w:p w14:paraId="24E37303" w14:textId="6EF8F850" w:rsidR="00231284" w:rsidRDefault="00207B37" w:rsidP="00231284">
      <w:pPr>
        <w:spacing w:line="360" w:lineRule="auto"/>
        <w:jc w:val="both"/>
      </w:pPr>
      <w:r>
        <w:rPr>
          <w:rFonts w:cstheme="minorHAnsi"/>
        </w:rPr>
        <w:t>It is imperative that the</w:t>
      </w:r>
      <w:r w:rsidR="00B53D79" w:rsidRPr="00956BA2">
        <w:rPr>
          <w:rFonts w:cstheme="minorHAnsi"/>
        </w:rPr>
        <w:t xml:space="preserve"> final stage of the </w:t>
      </w:r>
      <w:r w:rsidR="00B53D79" w:rsidRPr="00956BA2">
        <w:rPr>
          <w:rFonts w:cstheme="minorHAnsi"/>
          <w:i/>
          <w:iCs/>
        </w:rPr>
        <w:t>Four Point Agenda</w:t>
      </w:r>
      <w:r w:rsidR="00B53D79" w:rsidRPr="00956BA2">
        <w:rPr>
          <w:rFonts w:cstheme="minorHAnsi"/>
        </w:rPr>
        <w:t xml:space="preserve">, </w:t>
      </w:r>
      <w:r w:rsidR="0049462A" w:rsidRPr="00203D92">
        <w:rPr>
          <w:rFonts w:cstheme="minorHAnsi"/>
          <w:i/>
          <w:iCs/>
        </w:rPr>
        <w:t>r</w:t>
      </w:r>
      <w:r w:rsidR="006D726F" w:rsidRPr="00203D92">
        <w:rPr>
          <w:rFonts w:cstheme="minorHAnsi"/>
          <w:i/>
          <w:iCs/>
        </w:rPr>
        <w:t>edress</w:t>
      </w:r>
      <w:r w:rsidR="004E79EC" w:rsidRPr="00956BA2">
        <w:rPr>
          <w:rFonts w:cstheme="minorHAnsi"/>
        </w:rPr>
        <w:t xml:space="preserve"> </w:t>
      </w:r>
      <w:r>
        <w:rPr>
          <w:rFonts w:cstheme="minorHAnsi"/>
        </w:rPr>
        <w:t>is</w:t>
      </w:r>
      <w:r w:rsidR="00C162D5" w:rsidRPr="00956BA2">
        <w:rPr>
          <w:rFonts w:cstheme="minorHAnsi"/>
        </w:rPr>
        <w:t xml:space="preserve"> used to achieve</w:t>
      </w:r>
      <w:r w:rsidR="0049462A" w:rsidRPr="00956BA2">
        <w:rPr>
          <w:rFonts w:cstheme="minorHAnsi"/>
        </w:rPr>
        <w:t xml:space="preserve"> IDPAD’s thematic objective</w:t>
      </w:r>
      <w:r w:rsidR="00F771C1" w:rsidRPr="00956BA2">
        <w:rPr>
          <w:rFonts w:cstheme="minorHAnsi"/>
        </w:rPr>
        <w:t>s</w:t>
      </w:r>
      <w:r w:rsidR="004C21ED" w:rsidRPr="00956BA2">
        <w:rPr>
          <w:rFonts w:cstheme="minorHAnsi"/>
        </w:rPr>
        <w:t xml:space="preserve"> </w:t>
      </w:r>
      <w:r w:rsidR="008864D6" w:rsidRPr="00956BA2">
        <w:rPr>
          <w:rFonts w:cstheme="minorHAnsi"/>
        </w:rPr>
        <w:t>by</w:t>
      </w:r>
      <w:r w:rsidR="006D726F" w:rsidRPr="00956BA2">
        <w:rPr>
          <w:rFonts w:cstheme="minorHAnsi"/>
        </w:rPr>
        <w:t xml:space="preserve"> confronting </w:t>
      </w:r>
      <w:r w:rsidR="00F41706" w:rsidRPr="00956BA2">
        <w:rPr>
          <w:rFonts w:cstheme="minorHAnsi"/>
        </w:rPr>
        <w:t xml:space="preserve">past legacies, and taking special </w:t>
      </w:r>
      <w:r w:rsidR="00AB5D29" w:rsidRPr="00956BA2">
        <w:rPr>
          <w:rFonts w:cstheme="minorHAnsi"/>
        </w:rPr>
        <w:t>measures, with the goal of delivering reparat</w:t>
      </w:r>
      <w:r w:rsidR="0049462A" w:rsidRPr="00956BA2">
        <w:rPr>
          <w:rFonts w:cstheme="minorHAnsi"/>
        </w:rPr>
        <w:t>ions</w:t>
      </w:r>
      <w:r w:rsidR="001F2DCA" w:rsidRPr="00956BA2">
        <w:rPr>
          <w:rFonts w:cstheme="minorHAnsi"/>
        </w:rPr>
        <w:t xml:space="preserve"> </w:t>
      </w:r>
      <w:r w:rsidR="008864D6" w:rsidRPr="00956BA2">
        <w:rPr>
          <w:rFonts w:cstheme="minorHAnsi"/>
        </w:rPr>
        <w:t xml:space="preserve">to </w:t>
      </w:r>
      <w:proofErr w:type="spellStart"/>
      <w:r w:rsidR="008864D6" w:rsidRPr="00956BA2">
        <w:rPr>
          <w:rFonts w:cstheme="minorHAnsi"/>
        </w:rPr>
        <w:t>Afrikans</w:t>
      </w:r>
      <w:proofErr w:type="spellEnd"/>
      <w:r w:rsidR="008864D6" w:rsidRPr="00956BA2">
        <w:rPr>
          <w:rFonts w:cstheme="minorHAnsi"/>
        </w:rPr>
        <w:t xml:space="preserve"> </w:t>
      </w:r>
      <w:r w:rsidR="001F2DCA" w:rsidRPr="00956BA2">
        <w:rPr>
          <w:rFonts w:cstheme="minorHAnsi"/>
        </w:rPr>
        <w:t xml:space="preserve">for past and present manifestations of </w:t>
      </w:r>
      <w:proofErr w:type="spellStart"/>
      <w:r w:rsidR="001F2DCA" w:rsidRPr="00956BA2">
        <w:rPr>
          <w:rFonts w:cstheme="minorHAnsi"/>
        </w:rPr>
        <w:t>Afriphobia</w:t>
      </w:r>
      <w:proofErr w:type="spellEnd"/>
      <w:r w:rsidR="001D41E8" w:rsidRPr="00956BA2">
        <w:rPr>
          <w:rFonts w:cstheme="minorHAnsi"/>
        </w:rPr>
        <w:t>.</w:t>
      </w:r>
      <w:r w:rsidR="00231284" w:rsidRPr="00231284">
        <w:t xml:space="preserve"> </w:t>
      </w:r>
      <w:r w:rsidR="002457EC">
        <w:t xml:space="preserve">In that regard, </w:t>
      </w:r>
      <w:r w:rsidR="00A26D85" w:rsidRPr="007A5CAB">
        <w:rPr>
          <w:rFonts w:eastAsia="Times New Roman" w:cstheme="minorHAnsi"/>
          <w:i/>
          <w:iCs/>
          <w:color w:val="000000"/>
          <w:lang w:eastAsia="en-GB"/>
        </w:rPr>
        <w:t>A/HRC/Res/43/1</w:t>
      </w:r>
      <w:r w:rsidR="002457EC">
        <w:rPr>
          <w:rFonts w:eastAsia="Times New Roman" w:cstheme="minorHAnsi"/>
          <w:color w:val="000000"/>
          <w:lang w:eastAsia="en-GB"/>
        </w:rPr>
        <w:t xml:space="preserve"> established</w:t>
      </w:r>
      <w:r w:rsidR="00203D92">
        <w:rPr>
          <w:rFonts w:eastAsia="Times New Roman" w:cstheme="minorHAnsi"/>
          <w:color w:val="000000"/>
          <w:lang w:eastAsia="en-GB"/>
        </w:rPr>
        <w:t>,</w:t>
      </w:r>
      <w:r w:rsidR="002457EC">
        <w:rPr>
          <w:rFonts w:eastAsia="Times New Roman" w:cstheme="minorHAnsi"/>
          <w:color w:val="000000"/>
          <w:lang w:eastAsia="en-GB"/>
        </w:rPr>
        <w:t xml:space="preserve"> </w:t>
      </w:r>
    </w:p>
    <w:p w14:paraId="1C785B0D" w14:textId="611193E5" w:rsidR="00231284" w:rsidRPr="00956BA2" w:rsidRDefault="00231284" w:rsidP="004D0F22">
      <w:pPr>
        <w:spacing w:line="360" w:lineRule="auto"/>
        <w:ind w:left="510" w:right="510"/>
        <w:jc w:val="both"/>
        <w:rPr>
          <w:rFonts w:cstheme="minorHAnsi"/>
        </w:rPr>
      </w:pPr>
      <w:r>
        <w:t>“</w:t>
      </w:r>
      <w:r w:rsidR="00207B37">
        <w:t>The</w:t>
      </w:r>
      <w:r>
        <w:t xml:space="preserve"> international independent expert mechanism </w:t>
      </w:r>
      <w:r w:rsidR="002457EC">
        <w:t xml:space="preserve">(that) </w:t>
      </w:r>
      <w:r>
        <w:t>shall have a three-year mandate, within the purview of its mandate, to advance racial justice and equality in the context of law enforcement in all parts of the world by, inter alia, conducting country visits, inclusive outreach</w:t>
      </w:r>
      <w:r w:rsidR="005D17E3">
        <w:t>,</w:t>
      </w:r>
      <w:r>
        <w:t xml:space="preserve"> and consultations with States, directly affected individuals and communities, and other stakeholders</w:t>
      </w:r>
      <w:r w:rsidR="004D0F22">
        <w:t>”</w:t>
      </w:r>
      <w:r w:rsidR="004E7C6C">
        <w:t xml:space="preserve"> (HRC, 2021)</w:t>
      </w:r>
    </w:p>
    <w:p w14:paraId="0765F42A" w14:textId="7341B18C" w:rsidR="00920A2E" w:rsidRDefault="00A2014B" w:rsidP="00920A2E">
      <w:pPr>
        <w:spacing w:line="360" w:lineRule="auto"/>
        <w:jc w:val="both"/>
        <w:rPr>
          <w:rFonts w:cstheme="minorHAnsi"/>
        </w:rPr>
      </w:pPr>
      <w:r w:rsidRPr="00956BA2">
        <w:rPr>
          <w:rFonts w:cstheme="minorHAnsi"/>
        </w:rPr>
        <w:t xml:space="preserve">White supremacist </w:t>
      </w:r>
      <w:r w:rsidR="00136723" w:rsidRPr="00956BA2">
        <w:rPr>
          <w:rFonts w:cstheme="minorHAnsi"/>
        </w:rPr>
        <w:t>structures</w:t>
      </w:r>
      <w:r w:rsidR="00C7435E" w:rsidRPr="00956BA2">
        <w:rPr>
          <w:rFonts w:cstheme="minorHAnsi"/>
        </w:rPr>
        <w:t xml:space="preserve"> and systems designed and shaped by enslavement, colonialism</w:t>
      </w:r>
      <w:r w:rsidR="00337D5C">
        <w:rPr>
          <w:rFonts w:cstheme="minorHAnsi"/>
        </w:rPr>
        <w:t>,</w:t>
      </w:r>
      <w:r w:rsidR="00C7435E" w:rsidRPr="00956BA2">
        <w:rPr>
          <w:rFonts w:cstheme="minorHAnsi"/>
        </w:rPr>
        <w:t xml:space="preserve"> and successive racially discriminatory policies and systems</w:t>
      </w:r>
      <w:r w:rsidR="00894A82">
        <w:rPr>
          <w:rFonts w:cstheme="minorHAnsi"/>
        </w:rPr>
        <w:t xml:space="preserve"> should</w:t>
      </w:r>
      <w:r w:rsidR="00A87B0A">
        <w:rPr>
          <w:rFonts w:cstheme="minorHAnsi"/>
        </w:rPr>
        <w:t xml:space="preserve"> </w:t>
      </w:r>
      <w:r w:rsidR="00920A2E">
        <w:rPr>
          <w:rFonts w:cstheme="minorHAnsi"/>
        </w:rPr>
        <w:t xml:space="preserve">therefore </w:t>
      </w:r>
      <w:r w:rsidR="00A87B0A">
        <w:rPr>
          <w:rFonts w:cstheme="minorHAnsi"/>
        </w:rPr>
        <w:t>be</w:t>
      </w:r>
      <w:r w:rsidR="00C43375" w:rsidRPr="00956BA2">
        <w:rPr>
          <w:rFonts w:cstheme="minorHAnsi"/>
        </w:rPr>
        <w:t xml:space="preserve"> dismantled</w:t>
      </w:r>
      <w:r w:rsidR="00CB172D">
        <w:rPr>
          <w:rFonts w:cstheme="minorHAnsi"/>
        </w:rPr>
        <w:t xml:space="preserve"> through systemic change</w:t>
      </w:r>
      <w:r w:rsidR="00920A2E">
        <w:rPr>
          <w:rFonts w:cstheme="minorHAnsi"/>
        </w:rPr>
        <w:t xml:space="preserve">. </w:t>
      </w:r>
    </w:p>
    <w:p w14:paraId="641ECA84" w14:textId="77777777" w:rsidR="00920A2E" w:rsidRDefault="00920A2E" w:rsidP="00920A2E">
      <w:pPr>
        <w:spacing w:line="360" w:lineRule="auto"/>
        <w:jc w:val="both"/>
        <w:rPr>
          <w:rFonts w:cstheme="minorHAnsi"/>
        </w:rPr>
      </w:pPr>
    </w:p>
    <w:p w14:paraId="4229A512" w14:textId="19EE2609" w:rsidR="00941322" w:rsidRPr="00920A2E" w:rsidRDefault="00CB172D" w:rsidP="00920A2E">
      <w:pPr>
        <w:spacing w:line="360" w:lineRule="auto"/>
        <w:jc w:val="both"/>
        <w:rPr>
          <w:rFonts w:cstheme="minorHAnsi"/>
          <w:color w:val="666666"/>
          <w:shd w:val="clear" w:color="auto" w:fill="FFFFFF"/>
        </w:rPr>
      </w:pPr>
      <w:r>
        <w:rPr>
          <w:rFonts w:cstheme="minorHAnsi"/>
        </w:rPr>
        <w:t xml:space="preserve">Notably </w:t>
      </w:r>
      <w:r w:rsidR="00B65611" w:rsidRPr="00956BA2">
        <w:rPr>
          <w:rFonts w:cstheme="minorHAnsi"/>
        </w:rPr>
        <w:t xml:space="preserve">European </w:t>
      </w:r>
      <w:r w:rsidR="00BC3E69" w:rsidRPr="00956BA2">
        <w:rPr>
          <w:rFonts w:cstheme="minorHAnsi"/>
        </w:rPr>
        <w:t>P</w:t>
      </w:r>
      <w:r w:rsidR="00B65611" w:rsidRPr="00956BA2">
        <w:rPr>
          <w:rFonts w:cstheme="minorHAnsi"/>
        </w:rPr>
        <w:t>arliament (2019)</w:t>
      </w:r>
      <w:r w:rsidR="002E5E36">
        <w:rPr>
          <w:rFonts w:cstheme="minorHAnsi"/>
        </w:rPr>
        <w:t>,</w:t>
      </w:r>
      <w:r w:rsidR="00B65611" w:rsidRPr="00956BA2">
        <w:rPr>
          <w:rFonts w:cstheme="minorHAnsi"/>
        </w:rPr>
        <w:t xml:space="preserve"> </w:t>
      </w:r>
    </w:p>
    <w:p w14:paraId="5C52F85F" w14:textId="14D12B8F" w:rsidR="00941322" w:rsidRPr="00956BA2" w:rsidRDefault="00A31A74" w:rsidP="00941322">
      <w:pPr>
        <w:shd w:val="clear" w:color="auto" w:fill="FFFFFF"/>
        <w:spacing w:before="120" w:after="120" w:line="360" w:lineRule="auto"/>
        <w:ind w:left="510" w:right="510"/>
        <w:jc w:val="both"/>
        <w:rPr>
          <w:rFonts w:cstheme="minorHAnsi"/>
        </w:rPr>
      </w:pPr>
      <w:r w:rsidRPr="00956BA2">
        <w:rPr>
          <w:rFonts w:cstheme="minorHAnsi"/>
        </w:rPr>
        <w:t>“</w:t>
      </w:r>
      <w:r w:rsidR="00BC3E69" w:rsidRPr="00956BA2">
        <w:rPr>
          <w:rFonts w:cstheme="minorHAnsi"/>
          <w:color w:val="666666"/>
          <w:shd w:val="clear" w:color="auto" w:fill="FFFFFF"/>
        </w:rPr>
        <w:t xml:space="preserve">Calls on (European Union) Member States to monitor racial bias in their criminal justice and education systems and in their social services, and to take proactive steps to ensure equal justice and improve relations between the law enforcement authorities and minority communities, </w:t>
      </w:r>
      <w:r w:rsidR="00904AD0">
        <w:rPr>
          <w:rFonts w:cstheme="minorHAnsi"/>
          <w:color w:val="666666"/>
          <w:shd w:val="clear" w:color="auto" w:fill="FFFFFF"/>
        </w:rPr>
        <w:t>(…)</w:t>
      </w:r>
      <w:r w:rsidR="00BC3E69" w:rsidRPr="00956BA2">
        <w:rPr>
          <w:rFonts w:cstheme="minorHAnsi"/>
          <w:color w:val="666666"/>
          <w:shd w:val="clear" w:color="auto" w:fill="FFFFFF"/>
        </w:rPr>
        <w:t xml:space="preserve"> in particular Black communities and people of African descen</w:t>
      </w:r>
      <w:r w:rsidRPr="00956BA2">
        <w:rPr>
          <w:rFonts w:cstheme="minorHAnsi"/>
          <w:color w:val="666666"/>
          <w:shd w:val="clear" w:color="auto" w:fill="FFFFFF"/>
        </w:rPr>
        <w:t>t.”</w:t>
      </w:r>
      <w:r w:rsidR="009E3104" w:rsidRPr="00956BA2">
        <w:rPr>
          <w:rFonts w:cstheme="minorHAnsi"/>
        </w:rPr>
        <w:t xml:space="preserve"> </w:t>
      </w:r>
    </w:p>
    <w:p w14:paraId="55017653" w14:textId="3E0BD726" w:rsidR="00E27CAE" w:rsidRPr="00473FC3" w:rsidRDefault="00ED1D8D" w:rsidP="008D0528">
      <w:pPr>
        <w:shd w:val="clear" w:color="auto" w:fill="FFFFFF"/>
        <w:spacing w:before="120" w:after="120" w:line="360" w:lineRule="auto"/>
        <w:jc w:val="both"/>
        <w:rPr>
          <w:rFonts w:cstheme="minorHAnsi"/>
          <w:color w:val="000000"/>
        </w:rPr>
      </w:pPr>
      <w:r>
        <w:rPr>
          <w:rFonts w:eastAsia="Times New Roman" w:cstheme="minorHAnsi"/>
          <w:color w:val="000000"/>
          <w:lang w:eastAsia="en-GB"/>
        </w:rPr>
        <w:t>With this in mind, t</w:t>
      </w:r>
      <w:r w:rsidR="00BE6F00" w:rsidRPr="00956BA2">
        <w:rPr>
          <w:rFonts w:eastAsia="Times New Roman" w:cstheme="minorHAnsi"/>
          <w:color w:val="000000"/>
          <w:lang w:eastAsia="en-GB"/>
        </w:rPr>
        <w:t xml:space="preserve">he 2030 Agenda for Sustainable Development </w:t>
      </w:r>
      <w:r w:rsidR="00B32D57" w:rsidRPr="00956BA2">
        <w:rPr>
          <w:rFonts w:eastAsia="Times New Roman" w:cstheme="minorHAnsi"/>
          <w:color w:val="000000"/>
          <w:lang w:eastAsia="en-GB"/>
        </w:rPr>
        <w:t>i</w:t>
      </w:r>
      <w:r>
        <w:rPr>
          <w:rFonts w:eastAsia="Times New Roman" w:cstheme="minorHAnsi"/>
          <w:color w:val="000000"/>
          <w:lang w:eastAsia="en-GB"/>
        </w:rPr>
        <w:t>s recommended</w:t>
      </w:r>
      <w:r w:rsidR="00BE6F00" w:rsidRPr="00956BA2">
        <w:rPr>
          <w:rFonts w:eastAsia="Times New Roman" w:cstheme="minorHAnsi"/>
          <w:color w:val="000000"/>
          <w:lang w:eastAsia="en-GB"/>
        </w:rPr>
        <w:t xml:space="preserve"> a</w:t>
      </w:r>
      <w:r w:rsidR="00F02DDA">
        <w:rPr>
          <w:rFonts w:eastAsia="Times New Roman" w:cstheme="minorHAnsi"/>
          <w:color w:val="000000"/>
          <w:lang w:eastAsia="en-GB"/>
        </w:rPr>
        <w:t>s a</w:t>
      </w:r>
      <w:r w:rsidR="00BE6F00" w:rsidRPr="00956BA2">
        <w:rPr>
          <w:rFonts w:eastAsia="Times New Roman" w:cstheme="minorHAnsi"/>
          <w:color w:val="000000"/>
          <w:lang w:eastAsia="en-GB"/>
        </w:rPr>
        <w:t xml:space="preserve"> holistic </w:t>
      </w:r>
      <w:r w:rsidR="00BE6F00" w:rsidRPr="00956BA2">
        <w:rPr>
          <w:rFonts w:cstheme="minorHAnsi"/>
          <w:color w:val="000000"/>
        </w:rPr>
        <w:t>normative</w:t>
      </w:r>
      <w:r w:rsidR="00BE6F00" w:rsidRPr="00956BA2">
        <w:rPr>
          <w:rFonts w:eastAsia="Times New Roman" w:cstheme="minorHAnsi"/>
          <w:color w:val="000000"/>
          <w:lang w:eastAsia="en-GB"/>
        </w:rPr>
        <w:t xml:space="preserve"> framework within which</w:t>
      </w:r>
      <w:r w:rsidR="00BE6F00" w:rsidRPr="00956BA2">
        <w:rPr>
          <w:rFonts w:cstheme="minorHAnsi"/>
          <w:color w:val="000000"/>
        </w:rPr>
        <w:t xml:space="preserve"> state </w:t>
      </w:r>
      <w:r w:rsidR="009726F5" w:rsidRPr="00956BA2">
        <w:rPr>
          <w:rFonts w:cstheme="minorHAnsi"/>
          <w:color w:val="000000"/>
        </w:rPr>
        <w:t>partie</w:t>
      </w:r>
      <w:r w:rsidR="00BE6F00" w:rsidRPr="00956BA2">
        <w:rPr>
          <w:rFonts w:cstheme="minorHAnsi"/>
          <w:color w:val="000000"/>
        </w:rPr>
        <w:t>s can be held accountable for</w:t>
      </w:r>
      <w:r w:rsidR="00BE6F00" w:rsidRPr="00956BA2">
        <w:rPr>
          <w:rFonts w:eastAsia="Times New Roman" w:cstheme="minorHAnsi"/>
          <w:color w:val="000000"/>
          <w:lang w:eastAsia="en-GB"/>
        </w:rPr>
        <w:t xml:space="preserve"> </w:t>
      </w:r>
      <w:r w:rsidR="00A31A74" w:rsidRPr="00956BA2">
        <w:rPr>
          <w:rFonts w:eastAsia="Times New Roman" w:cstheme="minorHAnsi"/>
          <w:color w:val="000000"/>
          <w:lang w:eastAsia="en-GB"/>
        </w:rPr>
        <w:t xml:space="preserve">transposing </w:t>
      </w:r>
      <w:r w:rsidR="00A04880" w:rsidRPr="00956BA2">
        <w:rPr>
          <w:rFonts w:eastAsia="Times New Roman" w:cstheme="minorHAnsi"/>
          <w:color w:val="000000"/>
          <w:lang w:eastAsia="en-GB"/>
        </w:rPr>
        <w:t>international</w:t>
      </w:r>
      <w:r w:rsidR="00F02DDA">
        <w:rPr>
          <w:rFonts w:eastAsia="Times New Roman" w:cstheme="minorHAnsi"/>
          <w:color w:val="000000"/>
          <w:lang w:eastAsia="en-GB"/>
        </w:rPr>
        <w:t xml:space="preserve"> </w:t>
      </w:r>
      <w:r w:rsidR="00E24674">
        <w:rPr>
          <w:rFonts w:eastAsia="Times New Roman" w:cstheme="minorHAnsi"/>
          <w:color w:val="000000"/>
          <w:lang w:eastAsia="en-GB"/>
        </w:rPr>
        <w:t xml:space="preserve">anti-discrimination </w:t>
      </w:r>
      <w:r w:rsidR="00A04880" w:rsidRPr="00956BA2">
        <w:rPr>
          <w:rFonts w:eastAsia="Times New Roman" w:cstheme="minorHAnsi"/>
          <w:color w:val="000000"/>
          <w:lang w:eastAsia="en-GB"/>
        </w:rPr>
        <w:t>norms</w:t>
      </w:r>
      <w:r w:rsidR="00A94DCD">
        <w:rPr>
          <w:rFonts w:eastAsia="Times New Roman" w:cstheme="minorHAnsi"/>
          <w:color w:val="000000"/>
          <w:lang w:eastAsia="en-GB"/>
        </w:rPr>
        <w:t xml:space="preserve"> </w:t>
      </w:r>
      <w:r w:rsidR="00A94DCD" w:rsidRPr="00956BA2">
        <w:rPr>
          <w:rFonts w:eastAsia="Times New Roman" w:cstheme="minorHAnsi"/>
          <w:color w:val="000000"/>
          <w:lang w:eastAsia="en-GB"/>
        </w:rPr>
        <w:t xml:space="preserve">into domestic </w:t>
      </w:r>
      <w:r w:rsidR="00D93575">
        <w:rPr>
          <w:rFonts w:eastAsia="Times New Roman" w:cstheme="minorHAnsi"/>
          <w:color w:val="000000"/>
          <w:lang w:eastAsia="en-GB"/>
        </w:rPr>
        <w:t xml:space="preserve">legislation </w:t>
      </w:r>
      <w:r w:rsidR="00C50C46">
        <w:rPr>
          <w:rFonts w:eastAsia="Times New Roman" w:cstheme="minorHAnsi"/>
          <w:color w:val="000000"/>
          <w:lang w:eastAsia="en-GB"/>
        </w:rPr>
        <w:t>and anti-racism</w:t>
      </w:r>
      <w:r w:rsidR="00C50C46" w:rsidRPr="00956BA2">
        <w:rPr>
          <w:rFonts w:eastAsia="Times New Roman" w:cstheme="minorHAnsi"/>
          <w:color w:val="000000"/>
          <w:lang w:eastAsia="en-GB"/>
        </w:rPr>
        <w:t xml:space="preserve"> policies</w:t>
      </w:r>
      <w:r w:rsidR="00E122AC">
        <w:rPr>
          <w:rFonts w:eastAsia="Times New Roman" w:cstheme="minorHAnsi"/>
          <w:color w:val="000000"/>
          <w:lang w:eastAsia="en-GB"/>
        </w:rPr>
        <w:t>.</w:t>
      </w:r>
      <w:r w:rsidR="00B71810">
        <w:rPr>
          <w:rFonts w:eastAsia="Times New Roman" w:cstheme="minorHAnsi"/>
          <w:color w:val="000000"/>
          <w:lang w:eastAsia="en-GB"/>
        </w:rPr>
        <w:t xml:space="preserve"> </w:t>
      </w:r>
      <w:r w:rsidR="00D622A6">
        <w:rPr>
          <w:rFonts w:eastAsia="Times New Roman" w:cstheme="minorHAnsi"/>
          <w:color w:val="000000"/>
          <w:lang w:eastAsia="en-GB"/>
        </w:rPr>
        <w:t xml:space="preserve">The </w:t>
      </w:r>
      <w:r w:rsidR="00B54485">
        <w:rPr>
          <w:rFonts w:eastAsia="Times New Roman" w:cstheme="minorHAnsi"/>
          <w:color w:val="000000"/>
          <w:lang w:eastAsia="en-GB"/>
        </w:rPr>
        <w:t>criminal justice system</w:t>
      </w:r>
      <w:r w:rsidR="007928BF">
        <w:rPr>
          <w:rFonts w:eastAsia="Times New Roman" w:cstheme="minorHAnsi"/>
          <w:color w:val="000000"/>
          <w:lang w:eastAsia="en-GB"/>
        </w:rPr>
        <w:t>s</w:t>
      </w:r>
      <w:r w:rsidR="00B54485">
        <w:rPr>
          <w:rFonts w:eastAsia="Times New Roman" w:cstheme="minorHAnsi"/>
          <w:color w:val="000000"/>
          <w:lang w:eastAsia="en-GB"/>
        </w:rPr>
        <w:t xml:space="preserve"> </w:t>
      </w:r>
      <w:r w:rsidR="00ED441E">
        <w:rPr>
          <w:rFonts w:eastAsia="Times New Roman" w:cstheme="minorHAnsi"/>
          <w:color w:val="000000"/>
          <w:lang w:eastAsia="en-GB"/>
        </w:rPr>
        <w:t xml:space="preserve">must be held </w:t>
      </w:r>
      <w:r w:rsidR="00B54485">
        <w:rPr>
          <w:rFonts w:eastAsia="Times New Roman" w:cstheme="minorHAnsi"/>
          <w:color w:val="000000"/>
          <w:lang w:eastAsia="en-GB"/>
        </w:rPr>
        <w:t>accountable</w:t>
      </w:r>
      <w:r w:rsidR="007928BF">
        <w:rPr>
          <w:rFonts w:eastAsia="Times New Roman" w:cstheme="minorHAnsi"/>
          <w:color w:val="000000"/>
          <w:lang w:eastAsia="en-GB"/>
        </w:rPr>
        <w:t xml:space="preserve"> for </w:t>
      </w:r>
      <w:r w:rsidR="00212318">
        <w:rPr>
          <w:rFonts w:eastAsia="Times New Roman" w:cstheme="minorHAnsi"/>
          <w:color w:val="000000"/>
          <w:lang w:eastAsia="en-GB"/>
        </w:rPr>
        <w:t xml:space="preserve">acts of </w:t>
      </w:r>
      <w:r w:rsidR="007928BF">
        <w:rPr>
          <w:rFonts w:eastAsia="Times New Roman" w:cstheme="minorHAnsi"/>
          <w:color w:val="000000"/>
          <w:lang w:eastAsia="en-GB"/>
        </w:rPr>
        <w:t>racial viol</w:t>
      </w:r>
      <w:r w:rsidR="00212318">
        <w:rPr>
          <w:rFonts w:eastAsia="Times New Roman" w:cstheme="minorHAnsi"/>
          <w:color w:val="000000"/>
          <w:lang w:eastAsia="en-GB"/>
        </w:rPr>
        <w:t>ence</w:t>
      </w:r>
      <w:r w:rsidR="00ED441E">
        <w:rPr>
          <w:rFonts w:eastAsia="Times New Roman" w:cstheme="minorHAnsi"/>
          <w:color w:val="000000"/>
          <w:lang w:eastAsia="en-GB"/>
        </w:rPr>
        <w:t xml:space="preserve"> perpetr</w:t>
      </w:r>
      <w:r w:rsidR="00D622A6">
        <w:rPr>
          <w:rFonts w:eastAsia="Times New Roman" w:cstheme="minorHAnsi"/>
          <w:color w:val="000000"/>
          <w:lang w:eastAsia="en-GB"/>
        </w:rPr>
        <w:t xml:space="preserve">ated </w:t>
      </w:r>
      <w:r w:rsidR="00C50C46">
        <w:rPr>
          <w:rFonts w:eastAsia="Times New Roman" w:cstheme="minorHAnsi"/>
          <w:color w:val="000000"/>
          <w:lang w:eastAsia="en-GB"/>
        </w:rPr>
        <w:t xml:space="preserve">by </w:t>
      </w:r>
      <w:r w:rsidR="005B2E7B">
        <w:rPr>
          <w:rFonts w:eastAsia="Times New Roman" w:cstheme="minorHAnsi"/>
          <w:color w:val="000000"/>
          <w:lang w:eastAsia="en-GB"/>
        </w:rPr>
        <w:t xml:space="preserve">law enforcement </w:t>
      </w:r>
      <w:r w:rsidR="00C6612F">
        <w:rPr>
          <w:rFonts w:eastAsia="Times New Roman" w:cstheme="minorHAnsi"/>
          <w:color w:val="000000"/>
          <w:lang w:eastAsia="en-GB"/>
        </w:rPr>
        <w:t>officers</w:t>
      </w:r>
      <w:r w:rsidR="002E570A">
        <w:rPr>
          <w:rFonts w:eastAsia="Times New Roman" w:cstheme="minorHAnsi"/>
          <w:color w:val="000000"/>
          <w:lang w:eastAsia="en-GB"/>
        </w:rPr>
        <w:t xml:space="preserve">, including the violation of the human rights of </w:t>
      </w:r>
      <w:proofErr w:type="spellStart"/>
      <w:r w:rsidR="002E570A">
        <w:rPr>
          <w:rFonts w:eastAsia="Times New Roman" w:cstheme="minorHAnsi"/>
          <w:color w:val="000000"/>
          <w:lang w:eastAsia="en-GB"/>
        </w:rPr>
        <w:t>Afri</w:t>
      </w:r>
      <w:r w:rsidR="000D5C13">
        <w:rPr>
          <w:rFonts w:eastAsia="Times New Roman" w:cstheme="minorHAnsi"/>
          <w:color w:val="000000"/>
          <w:lang w:eastAsia="en-GB"/>
        </w:rPr>
        <w:t>k</w:t>
      </w:r>
      <w:r w:rsidR="002E570A">
        <w:rPr>
          <w:rFonts w:eastAsia="Times New Roman" w:cstheme="minorHAnsi"/>
          <w:color w:val="000000"/>
          <w:lang w:eastAsia="en-GB"/>
        </w:rPr>
        <w:t>an</w:t>
      </w:r>
      <w:proofErr w:type="spellEnd"/>
      <w:r w:rsidR="002E570A">
        <w:rPr>
          <w:rFonts w:eastAsia="Times New Roman" w:cstheme="minorHAnsi"/>
          <w:color w:val="000000"/>
          <w:lang w:eastAsia="en-GB"/>
        </w:rPr>
        <w:t xml:space="preserve"> minors such as Child Q</w:t>
      </w:r>
      <w:r w:rsidR="0017278C">
        <w:rPr>
          <w:rFonts w:eastAsia="Times New Roman" w:cstheme="minorHAnsi"/>
          <w:color w:val="000000"/>
          <w:lang w:eastAsia="en-GB"/>
        </w:rPr>
        <w:t>.</w:t>
      </w:r>
      <w:r w:rsidR="001776CF">
        <w:rPr>
          <w:rFonts w:eastAsia="Times New Roman" w:cstheme="minorHAnsi"/>
          <w:color w:val="000000"/>
          <w:lang w:eastAsia="en-GB"/>
        </w:rPr>
        <w:t xml:space="preserve"> ICERD 1965 </w:t>
      </w:r>
      <w:r w:rsidR="00A94DCD">
        <w:rPr>
          <w:rFonts w:eastAsia="Times New Roman" w:cstheme="minorHAnsi"/>
          <w:color w:val="000000"/>
          <w:lang w:eastAsia="en-GB"/>
        </w:rPr>
        <w:t xml:space="preserve">can be </w:t>
      </w:r>
      <w:r w:rsidR="00EB002F">
        <w:rPr>
          <w:rFonts w:eastAsia="Times New Roman" w:cstheme="minorHAnsi"/>
          <w:color w:val="000000"/>
          <w:lang w:eastAsia="en-GB"/>
        </w:rPr>
        <w:t xml:space="preserve">used </w:t>
      </w:r>
      <w:r w:rsidR="002F6C79">
        <w:rPr>
          <w:rFonts w:eastAsia="Times New Roman" w:cstheme="minorHAnsi"/>
          <w:color w:val="000000"/>
          <w:lang w:eastAsia="en-GB"/>
        </w:rPr>
        <w:t>to a</w:t>
      </w:r>
      <w:r w:rsidR="00EB002F">
        <w:rPr>
          <w:rFonts w:eastAsia="Times New Roman" w:cstheme="minorHAnsi"/>
          <w:color w:val="000000"/>
          <w:lang w:eastAsia="en-GB"/>
        </w:rPr>
        <w:t>dvocate and monitor</w:t>
      </w:r>
      <w:r w:rsidR="00BC41F8" w:rsidRPr="00956BA2">
        <w:rPr>
          <w:rFonts w:cstheme="minorHAnsi"/>
          <w:color w:val="000000"/>
        </w:rPr>
        <w:t xml:space="preserve"> </w:t>
      </w:r>
      <w:r w:rsidR="00C00BDC">
        <w:rPr>
          <w:rFonts w:cstheme="minorHAnsi"/>
          <w:color w:val="000000"/>
        </w:rPr>
        <w:t xml:space="preserve">state </w:t>
      </w:r>
      <w:proofErr w:type="spellStart"/>
      <w:proofErr w:type="gramStart"/>
      <w:r w:rsidR="00142351">
        <w:rPr>
          <w:rFonts w:cstheme="minorHAnsi"/>
          <w:color w:val="000000"/>
        </w:rPr>
        <w:t>parties‘</w:t>
      </w:r>
      <w:proofErr w:type="gramEnd"/>
      <w:r w:rsidR="00142351">
        <w:rPr>
          <w:rFonts w:cstheme="minorHAnsi"/>
          <w:color w:val="000000"/>
        </w:rPr>
        <w:t>repair</w:t>
      </w:r>
      <w:proofErr w:type="spellEnd"/>
      <w:r w:rsidR="00F75015">
        <w:rPr>
          <w:rFonts w:cstheme="minorHAnsi"/>
          <w:color w:val="000000"/>
        </w:rPr>
        <w:t>,</w:t>
      </w:r>
      <w:r w:rsidR="00C00BDC">
        <w:rPr>
          <w:rFonts w:cstheme="minorHAnsi"/>
          <w:color w:val="000000"/>
        </w:rPr>
        <w:t xml:space="preserve"> and redress</w:t>
      </w:r>
      <w:r w:rsidR="00BE1FE5">
        <w:rPr>
          <w:rFonts w:cstheme="minorHAnsi"/>
          <w:color w:val="000000"/>
        </w:rPr>
        <w:t xml:space="preserve"> for victims of </w:t>
      </w:r>
      <w:r w:rsidR="00E373AD">
        <w:rPr>
          <w:rFonts w:cstheme="minorHAnsi"/>
          <w:color w:val="000000"/>
        </w:rPr>
        <w:t xml:space="preserve">racial violence </w:t>
      </w:r>
      <w:r w:rsidR="0065150A">
        <w:rPr>
          <w:rFonts w:cstheme="minorHAnsi"/>
          <w:color w:val="000000"/>
        </w:rPr>
        <w:t>by</w:t>
      </w:r>
      <w:r w:rsidR="00E373AD">
        <w:rPr>
          <w:rFonts w:cstheme="minorHAnsi"/>
          <w:color w:val="000000"/>
        </w:rPr>
        <w:t xml:space="preserve"> law enforcement officers</w:t>
      </w:r>
      <w:r w:rsidR="00BC41F8" w:rsidRPr="00956BA2">
        <w:rPr>
          <w:rFonts w:cstheme="minorHAnsi"/>
          <w:color w:val="000000"/>
        </w:rPr>
        <w:t xml:space="preserve">. </w:t>
      </w:r>
      <w:r w:rsidR="00710ACD">
        <w:rPr>
          <w:rFonts w:eastAsia="Times New Roman" w:cstheme="minorHAnsi"/>
          <w:color w:val="000000"/>
          <w:lang w:eastAsia="en-GB"/>
        </w:rPr>
        <w:t>To conclude</w:t>
      </w:r>
      <w:r w:rsidR="001641EA">
        <w:rPr>
          <w:rFonts w:eastAsia="Times New Roman" w:cstheme="minorHAnsi"/>
          <w:color w:val="000000"/>
          <w:lang w:eastAsia="en-GB"/>
        </w:rPr>
        <w:t xml:space="preserve">, </w:t>
      </w:r>
      <w:r w:rsidR="00F5674C">
        <w:rPr>
          <w:rFonts w:eastAsia="Times New Roman" w:cstheme="minorHAnsi"/>
          <w:color w:val="000000"/>
          <w:lang w:eastAsia="en-GB"/>
        </w:rPr>
        <w:t xml:space="preserve">it </w:t>
      </w:r>
      <w:r w:rsidR="00D66494">
        <w:rPr>
          <w:rFonts w:eastAsia="Times New Roman" w:cstheme="minorHAnsi"/>
          <w:color w:val="000000"/>
          <w:lang w:eastAsia="en-GB"/>
        </w:rPr>
        <w:t xml:space="preserve">is recommended that the </w:t>
      </w:r>
      <w:r w:rsidR="00F5568A">
        <w:rPr>
          <w:rFonts w:eastAsia="Times New Roman" w:cstheme="minorHAnsi"/>
          <w:color w:val="000000"/>
          <w:lang w:eastAsia="en-GB"/>
        </w:rPr>
        <w:t xml:space="preserve">independent </w:t>
      </w:r>
      <w:r w:rsidR="00C77801">
        <w:rPr>
          <w:rFonts w:eastAsia="Times New Roman" w:cstheme="minorHAnsi"/>
          <w:color w:val="000000"/>
          <w:lang w:eastAsia="en-GB"/>
        </w:rPr>
        <w:t xml:space="preserve">UN </w:t>
      </w:r>
      <w:r w:rsidR="00095C4F">
        <w:rPr>
          <w:rFonts w:eastAsia="Times New Roman" w:cstheme="minorHAnsi"/>
          <w:color w:val="000000"/>
          <w:lang w:eastAsia="en-GB"/>
        </w:rPr>
        <w:t>mechanism</w:t>
      </w:r>
      <w:r w:rsidR="002C2D79">
        <w:rPr>
          <w:rFonts w:eastAsia="Times New Roman" w:cstheme="minorHAnsi"/>
          <w:color w:val="000000"/>
          <w:lang w:eastAsia="en-GB"/>
        </w:rPr>
        <w:t xml:space="preserve"> implement </w:t>
      </w:r>
      <w:r w:rsidR="002C2D79" w:rsidRPr="00C77801">
        <w:rPr>
          <w:rFonts w:eastAsia="Times New Roman" w:cstheme="minorHAnsi"/>
          <w:b/>
          <w:bCs/>
          <w:color w:val="000000"/>
          <w:lang w:eastAsia="en-GB"/>
        </w:rPr>
        <w:t>SDG Target 16.b</w:t>
      </w:r>
      <w:r w:rsidR="000D1B88">
        <w:rPr>
          <w:rFonts w:eastAsia="Times New Roman" w:cstheme="minorHAnsi"/>
          <w:color w:val="000000"/>
          <w:lang w:eastAsia="en-GB"/>
        </w:rPr>
        <w:t xml:space="preserve">, </w:t>
      </w:r>
      <w:r w:rsidR="00665153">
        <w:rPr>
          <w:rFonts w:eastAsia="Times New Roman" w:cstheme="minorHAnsi"/>
          <w:color w:val="000000"/>
          <w:lang w:eastAsia="en-GB"/>
        </w:rPr>
        <w:t xml:space="preserve">to advocate </w:t>
      </w:r>
      <w:r w:rsidR="001E214D">
        <w:rPr>
          <w:rFonts w:eastAsia="Times New Roman" w:cstheme="minorHAnsi"/>
          <w:color w:val="000000"/>
          <w:lang w:eastAsia="en-GB"/>
        </w:rPr>
        <w:t>adoption of</w:t>
      </w:r>
      <w:r w:rsidR="00E274DC">
        <w:rPr>
          <w:rFonts w:eastAsia="Times New Roman" w:cstheme="minorHAnsi"/>
          <w:color w:val="000000"/>
          <w:lang w:eastAsia="en-GB"/>
        </w:rPr>
        <w:t xml:space="preserve"> </w:t>
      </w:r>
      <w:r w:rsidR="00AA142E" w:rsidRPr="00BC269E">
        <w:rPr>
          <w:rFonts w:eastAsia="Times New Roman" w:cstheme="minorHAnsi"/>
          <w:i/>
          <w:iCs/>
          <w:color w:val="000000"/>
          <w:lang w:eastAsia="en-GB"/>
        </w:rPr>
        <w:t>Art. 11</w:t>
      </w:r>
      <w:r w:rsidR="00CD5540" w:rsidRPr="00BC269E">
        <w:rPr>
          <w:rFonts w:eastAsia="Times New Roman" w:cstheme="minorHAnsi"/>
          <w:i/>
          <w:iCs/>
          <w:color w:val="000000"/>
          <w:lang w:eastAsia="en-GB"/>
        </w:rPr>
        <w:t>, A/HRC/</w:t>
      </w:r>
      <w:r w:rsidR="00513936" w:rsidRPr="00BC269E">
        <w:rPr>
          <w:rFonts w:eastAsia="Times New Roman" w:cstheme="minorHAnsi"/>
          <w:i/>
          <w:iCs/>
          <w:color w:val="000000"/>
          <w:lang w:eastAsia="en-GB"/>
        </w:rPr>
        <w:t>R</w:t>
      </w:r>
      <w:r w:rsidR="001E214D" w:rsidRPr="00BC269E">
        <w:rPr>
          <w:rFonts w:eastAsia="Times New Roman" w:cstheme="minorHAnsi"/>
          <w:i/>
          <w:iCs/>
          <w:color w:val="000000"/>
          <w:lang w:eastAsia="en-GB"/>
        </w:rPr>
        <w:t>ES/</w:t>
      </w:r>
      <w:r w:rsidR="00C8026C" w:rsidRPr="00BC269E">
        <w:rPr>
          <w:rFonts w:eastAsia="Times New Roman" w:cstheme="minorHAnsi"/>
          <w:i/>
          <w:iCs/>
          <w:color w:val="000000"/>
          <w:lang w:eastAsia="en-GB"/>
        </w:rPr>
        <w:t>21</w:t>
      </w:r>
      <w:r w:rsidR="00C447E9">
        <w:rPr>
          <w:rFonts w:eastAsia="Times New Roman" w:cstheme="minorHAnsi"/>
          <w:color w:val="000000"/>
          <w:lang w:eastAsia="en-GB"/>
        </w:rPr>
        <w:t xml:space="preserve"> by state parties</w:t>
      </w:r>
      <w:r w:rsidR="00F03F99">
        <w:rPr>
          <w:rFonts w:eastAsia="Times New Roman" w:cstheme="minorHAnsi"/>
          <w:color w:val="000000"/>
          <w:lang w:eastAsia="en-GB"/>
        </w:rPr>
        <w:t>.</w:t>
      </w:r>
      <w:r w:rsidR="008B4EAE">
        <w:rPr>
          <w:rFonts w:eastAsia="Times New Roman" w:cstheme="minorHAnsi"/>
          <w:color w:val="000000"/>
          <w:lang w:eastAsia="en-GB"/>
        </w:rPr>
        <w:t xml:space="preserve"> </w:t>
      </w:r>
      <w:r w:rsidR="00C8026C" w:rsidRPr="00956BA2">
        <w:rPr>
          <w:rFonts w:eastAsia="Times New Roman" w:cstheme="minorHAnsi"/>
          <w:color w:val="000000"/>
          <w:lang w:eastAsia="en-GB"/>
        </w:rPr>
        <w:t xml:space="preserve"> </w:t>
      </w:r>
      <w:r w:rsidR="0012533B" w:rsidRPr="00956BA2">
        <w:rPr>
          <w:rFonts w:cstheme="minorHAnsi"/>
        </w:rPr>
        <w:t>R</w:t>
      </w:r>
      <w:r w:rsidR="008D4C81">
        <w:rPr>
          <w:rFonts w:cstheme="minorHAnsi"/>
        </w:rPr>
        <w:t>eparatory justic</w:t>
      </w:r>
      <w:r w:rsidR="00F85C38">
        <w:rPr>
          <w:rFonts w:cstheme="minorHAnsi"/>
        </w:rPr>
        <w:t>e</w:t>
      </w:r>
      <w:r w:rsidR="0012533B" w:rsidRPr="00956BA2">
        <w:rPr>
          <w:rFonts w:cstheme="minorHAnsi"/>
          <w:color w:val="000000"/>
        </w:rPr>
        <w:t xml:space="preserve"> </w:t>
      </w:r>
      <w:r w:rsidR="00BC269E">
        <w:rPr>
          <w:rFonts w:cstheme="minorHAnsi"/>
          <w:color w:val="000000"/>
        </w:rPr>
        <w:t>remain</w:t>
      </w:r>
      <w:r w:rsidR="00F92F35">
        <w:rPr>
          <w:rFonts w:cstheme="minorHAnsi"/>
          <w:color w:val="000000"/>
        </w:rPr>
        <w:t>s</w:t>
      </w:r>
      <w:r w:rsidR="00240F13" w:rsidRPr="00956BA2">
        <w:rPr>
          <w:rFonts w:cstheme="minorHAnsi"/>
          <w:color w:val="000000"/>
        </w:rPr>
        <w:t xml:space="preserve"> imperativ</w:t>
      </w:r>
      <w:r w:rsidR="00F85C38">
        <w:rPr>
          <w:rFonts w:cstheme="minorHAnsi"/>
          <w:color w:val="000000"/>
        </w:rPr>
        <w:t>e</w:t>
      </w:r>
      <w:r w:rsidR="002F2237">
        <w:rPr>
          <w:rFonts w:cstheme="minorHAnsi"/>
          <w:color w:val="000000"/>
        </w:rPr>
        <w:t xml:space="preserve"> </w:t>
      </w:r>
      <w:r w:rsidR="009F136D" w:rsidRPr="00956BA2">
        <w:rPr>
          <w:rFonts w:cstheme="minorHAnsi"/>
        </w:rPr>
        <w:t>to address past and present</w:t>
      </w:r>
      <w:r w:rsidR="00F124B8" w:rsidRPr="00956BA2">
        <w:rPr>
          <w:rFonts w:cstheme="minorHAnsi"/>
        </w:rPr>
        <w:t xml:space="preserve"> forms of </w:t>
      </w:r>
      <w:r w:rsidR="00142351" w:rsidRPr="00956BA2">
        <w:rPr>
          <w:rFonts w:cstheme="minorHAnsi"/>
        </w:rPr>
        <w:t>Afrophobia</w:t>
      </w:r>
      <w:r w:rsidR="002E5E36">
        <w:rPr>
          <w:rFonts w:cstheme="minorHAnsi"/>
        </w:rPr>
        <w:t>,</w:t>
      </w:r>
      <w:r w:rsidR="009F136D" w:rsidRPr="00956BA2">
        <w:rPr>
          <w:rFonts w:cstheme="minorHAnsi"/>
        </w:rPr>
        <w:t xml:space="preserve"> </w:t>
      </w:r>
      <w:r w:rsidR="002E5E36">
        <w:rPr>
          <w:rFonts w:cstheme="minorHAnsi"/>
        </w:rPr>
        <w:t>including</w:t>
      </w:r>
      <w:r w:rsidR="000164F5">
        <w:rPr>
          <w:rFonts w:cstheme="minorHAnsi"/>
        </w:rPr>
        <w:t xml:space="preserve"> </w:t>
      </w:r>
      <w:r w:rsidR="000164F5" w:rsidRPr="002F2237">
        <w:rPr>
          <w:rFonts w:cstheme="minorHAnsi"/>
          <w:i/>
          <w:iCs/>
        </w:rPr>
        <w:t>school-to-prison pipelines</w:t>
      </w:r>
      <w:r w:rsidR="000164F5">
        <w:rPr>
          <w:rFonts w:cstheme="minorHAnsi"/>
        </w:rPr>
        <w:t xml:space="preserve"> </w:t>
      </w:r>
      <w:r w:rsidR="009F136D" w:rsidRPr="00956BA2">
        <w:rPr>
          <w:rFonts w:cstheme="minorHAnsi"/>
        </w:rPr>
        <w:t xml:space="preserve">that </w:t>
      </w:r>
      <w:r w:rsidR="00F124B8" w:rsidRPr="00956BA2">
        <w:rPr>
          <w:rFonts w:cstheme="minorHAnsi"/>
        </w:rPr>
        <w:t>dehumanis</w:t>
      </w:r>
      <w:r w:rsidR="009F136D" w:rsidRPr="00956BA2">
        <w:rPr>
          <w:rFonts w:cstheme="minorHAnsi"/>
        </w:rPr>
        <w:t xml:space="preserve">e </w:t>
      </w:r>
      <w:proofErr w:type="spellStart"/>
      <w:r w:rsidR="001E214D">
        <w:rPr>
          <w:rFonts w:cstheme="minorHAnsi"/>
        </w:rPr>
        <w:t>Afrikan</w:t>
      </w:r>
      <w:r w:rsidR="009F136D" w:rsidRPr="00956BA2">
        <w:rPr>
          <w:rFonts w:cstheme="minorHAnsi"/>
        </w:rPr>
        <w:t>s</w:t>
      </w:r>
      <w:proofErr w:type="spellEnd"/>
      <w:r w:rsidR="00142351">
        <w:rPr>
          <w:rFonts w:cstheme="minorHAnsi"/>
        </w:rPr>
        <w:t xml:space="preserve"> globally</w:t>
      </w:r>
      <w:r w:rsidR="007F6F35" w:rsidRPr="00956BA2">
        <w:rPr>
          <w:rFonts w:cstheme="minorHAnsi"/>
          <w:color w:val="000000"/>
        </w:rPr>
        <w:t>.</w:t>
      </w:r>
      <w:r w:rsidR="0012533B" w:rsidRPr="00956BA2">
        <w:rPr>
          <w:rFonts w:cstheme="minorHAnsi"/>
        </w:rPr>
        <w:t xml:space="preserve"> </w:t>
      </w:r>
      <w:r w:rsidR="006155D8" w:rsidRPr="00956BA2">
        <w:rPr>
          <w:rFonts w:cstheme="minorHAnsi"/>
          <w:color w:val="000000"/>
        </w:rPr>
        <w:t xml:space="preserve">Failure to </w:t>
      </w:r>
      <w:r w:rsidR="00FE0584" w:rsidRPr="00956BA2">
        <w:rPr>
          <w:rFonts w:cstheme="minorHAnsi"/>
          <w:color w:val="000000"/>
        </w:rPr>
        <w:t xml:space="preserve">achieve </w:t>
      </w:r>
      <w:r w:rsidR="002E5E36">
        <w:rPr>
          <w:rFonts w:cstheme="minorHAnsi"/>
          <w:color w:val="000000"/>
        </w:rPr>
        <w:t xml:space="preserve">this </w:t>
      </w:r>
      <w:r w:rsidR="002E5E36" w:rsidRPr="00956BA2">
        <w:rPr>
          <w:rFonts w:cstheme="minorHAnsi"/>
          <w:color w:val="000000"/>
        </w:rPr>
        <w:t>could</w:t>
      </w:r>
      <w:r w:rsidR="005B239C" w:rsidRPr="00956BA2">
        <w:rPr>
          <w:rFonts w:cstheme="minorHAnsi"/>
          <w:color w:val="000000"/>
        </w:rPr>
        <w:t xml:space="preserve"> prove</w:t>
      </w:r>
      <w:r w:rsidR="006155D8" w:rsidRPr="00956BA2">
        <w:rPr>
          <w:rFonts w:cstheme="minorHAnsi"/>
          <w:color w:val="000000"/>
        </w:rPr>
        <w:t xml:space="preserve"> perilous.</w:t>
      </w:r>
    </w:p>
    <w:p w14:paraId="081780AA" w14:textId="1BEBBFF4" w:rsidR="00512AD5" w:rsidRDefault="00D55FFC">
      <w:pPr>
        <w:rPr>
          <w:b/>
          <w:bCs/>
        </w:rPr>
      </w:pPr>
      <w:r w:rsidRPr="00D55FFC">
        <w:rPr>
          <w:b/>
          <w:bCs/>
        </w:rPr>
        <w:lastRenderedPageBreak/>
        <w:t>S</w:t>
      </w:r>
      <w:r w:rsidR="001067C8">
        <w:rPr>
          <w:b/>
          <w:bCs/>
        </w:rPr>
        <w:t>OURCES</w:t>
      </w:r>
    </w:p>
    <w:p w14:paraId="14519038" w14:textId="665715A4" w:rsidR="00D55FFC" w:rsidRDefault="00D55FFC" w:rsidP="00D55FFC">
      <w:pPr>
        <w:shd w:val="clear" w:color="auto" w:fill="FFFFFF"/>
        <w:spacing w:before="120" w:after="120" w:line="360" w:lineRule="auto"/>
        <w:jc w:val="both"/>
        <w:rPr>
          <w:rFonts w:cstheme="minorHAnsi"/>
        </w:rPr>
      </w:pPr>
      <w:r w:rsidRPr="000C2C18">
        <w:rPr>
          <w:rFonts w:eastAsia="Times New Roman" w:cstheme="minorHAnsi"/>
          <w:color w:val="000000"/>
          <w:lang w:eastAsia="en-GB"/>
        </w:rPr>
        <w:t xml:space="preserve">Ed. Byrne, B. et al (2020) </w:t>
      </w:r>
      <w:r w:rsidRPr="000C2C18">
        <w:rPr>
          <w:rFonts w:cstheme="minorHAnsi"/>
          <w:i/>
          <w:iCs/>
        </w:rPr>
        <w:t xml:space="preserve">ETHNICITY, </w:t>
      </w:r>
      <w:proofErr w:type="gramStart"/>
      <w:r w:rsidRPr="000C2C18">
        <w:rPr>
          <w:rFonts w:cstheme="minorHAnsi"/>
          <w:i/>
          <w:iCs/>
        </w:rPr>
        <w:t>RACE</w:t>
      </w:r>
      <w:proofErr w:type="gramEnd"/>
      <w:r w:rsidRPr="000C2C18">
        <w:rPr>
          <w:rFonts w:cstheme="minorHAnsi"/>
          <w:i/>
          <w:iCs/>
        </w:rPr>
        <w:t xml:space="preserve"> AND INEQUALITY IN THE UK: State of the Nation.</w:t>
      </w:r>
      <w:r w:rsidRPr="000C2C18">
        <w:rPr>
          <w:rFonts w:cstheme="minorHAnsi"/>
        </w:rPr>
        <w:t xml:space="preserve"> Policy Press, Bristol, UK.</w:t>
      </w:r>
    </w:p>
    <w:p w14:paraId="76B92FD2" w14:textId="21F829AD" w:rsidR="004A31B7" w:rsidRDefault="0010150B" w:rsidP="00D55FFC">
      <w:pPr>
        <w:shd w:val="clear" w:color="auto" w:fill="FFFFFF"/>
        <w:spacing w:before="120" w:after="120" w:line="360" w:lineRule="auto"/>
        <w:jc w:val="both"/>
        <w:rPr>
          <w:rStyle w:val="Hyperlink"/>
          <w:u w:val="none"/>
        </w:rPr>
      </w:pPr>
      <w:r>
        <w:t xml:space="preserve">Camden Newsroom </w:t>
      </w:r>
      <w:r w:rsidR="004A31B7">
        <w:t xml:space="preserve">(2022) </w:t>
      </w:r>
      <w:hyperlink r:id="rId8" w:anchor=":~:text=Camden%20Council%20statement%20on%20the%20Child%20Q%20review,Martin%20Pratt%2C%20Executive%20Director%20of%20Supporting%20People%20said%3A" w:history="1">
        <w:r w:rsidR="004A31B7" w:rsidRPr="00F347A7">
          <w:rPr>
            <w:rStyle w:val="Hyperlink"/>
            <w:i/>
            <w:iCs/>
          </w:rPr>
          <w:t>Camden Council statement on the Child Q review</w:t>
        </w:r>
      </w:hyperlink>
      <w:r w:rsidR="00F347A7">
        <w:rPr>
          <w:rStyle w:val="Hyperlink"/>
          <w:i/>
          <w:iCs/>
        </w:rPr>
        <w:t xml:space="preserve">. </w:t>
      </w:r>
      <w:r w:rsidR="00F347A7">
        <w:rPr>
          <w:rStyle w:val="Hyperlink"/>
          <w:u w:val="none"/>
        </w:rPr>
        <w:t xml:space="preserve"> </w:t>
      </w:r>
      <w:r w:rsidR="00FE4833">
        <w:rPr>
          <w:rStyle w:val="Hyperlink"/>
          <w:u w:val="none"/>
        </w:rPr>
        <w:t>Camden Council</w:t>
      </w:r>
    </w:p>
    <w:p w14:paraId="48639090" w14:textId="5A958DA4" w:rsidR="00E33B67" w:rsidRPr="00E33B67" w:rsidRDefault="00E33B67" w:rsidP="00E33B67">
      <w:proofErr w:type="spellStart"/>
      <w:r>
        <w:t>Eldabh</w:t>
      </w:r>
      <w:proofErr w:type="spellEnd"/>
      <w:r>
        <w:t xml:space="preserve">, C. &amp; </w:t>
      </w:r>
      <w:proofErr w:type="spellStart"/>
      <w:r>
        <w:t>Dakwar</w:t>
      </w:r>
      <w:proofErr w:type="spellEnd"/>
      <w:r>
        <w:t xml:space="preserve">, J. (2021) </w:t>
      </w:r>
      <w:hyperlink r:id="rId9" w:history="1">
        <w:r>
          <w:rPr>
            <w:rStyle w:val="Hyperlink"/>
          </w:rPr>
          <w:t>The UN’s George Floyd Resolution is a Vital Step Toward International Accountability (aclu.org)</w:t>
        </w:r>
      </w:hyperlink>
      <w:r>
        <w:t>. ACLU</w:t>
      </w:r>
    </w:p>
    <w:p w14:paraId="3B361689" w14:textId="09850C1B" w:rsidR="00C41FA1" w:rsidRDefault="00C41FA1" w:rsidP="00D55FFC">
      <w:pPr>
        <w:shd w:val="clear" w:color="auto" w:fill="FFFFFF"/>
        <w:spacing w:before="120" w:after="120" w:line="360" w:lineRule="auto"/>
        <w:jc w:val="both"/>
        <w:rPr>
          <w:rFonts w:cstheme="minorHAnsi"/>
        </w:rPr>
      </w:pPr>
      <w:r>
        <w:t xml:space="preserve">European Parliament (2019) </w:t>
      </w:r>
      <w:r w:rsidR="007F6CEC" w:rsidRPr="007F6CEC">
        <w:rPr>
          <w:i/>
          <w:iCs/>
        </w:rPr>
        <w:t>EU Resolution on Fundamental</w:t>
      </w:r>
      <w:r w:rsidR="007F6CEC">
        <w:rPr>
          <w:i/>
          <w:iCs/>
        </w:rPr>
        <w:t xml:space="preserve"> </w:t>
      </w:r>
      <w:r w:rsidR="007F6CEC" w:rsidRPr="007F6CEC">
        <w:rPr>
          <w:i/>
          <w:iCs/>
        </w:rPr>
        <w:t xml:space="preserve">Rights of People of African Descent. </w:t>
      </w:r>
      <w:hyperlink r:id="rId10" w:history="1">
        <w:r>
          <w:rPr>
            <w:rStyle w:val="Hyperlink"/>
          </w:rPr>
          <w:t>Texts adopted - Fundamental rights of people of African descent - Tuesday, 26 March 2019 (europa.eu)</w:t>
        </w:r>
      </w:hyperlink>
    </w:p>
    <w:p w14:paraId="27E89E3D" w14:textId="48DEBC6C" w:rsidR="009D5163" w:rsidRDefault="009D5163" w:rsidP="00D55FFC">
      <w:pPr>
        <w:shd w:val="clear" w:color="auto" w:fill="FFFFFF"/>
        <w:spacing w:before="120" w:after="120" w:line="360" w:lineRule="auto"/>
        <w:jc w:val="both"/>
        <w:rPr>
          <w:rFonts w:eastAsia="Times New Roman" w:cstheme="minorHAnsi"/>
          <w:color w:val="222222"/>
          <w:lang w:eastAsia="en-GB"/>
        </w:rPr>
      </w:pPr>
      <w:r w:rsidRPr="000C2C18">
        <w:rPr>
          <w:rFonts w:eastAsia="Times New Roman" w:cstheme="minorHAnsi"/>
          <w:color w:val="222222"/>
          <w:lang w:eastAsia="en-GB"/>
        </w:rPr>
        <w:t xml:space="preserve">OHCHR (1989) </w:t>
      </w:r>
      <w:r w:rsidR="00F6721B">
        <w:rPr>
          <w:rFonts w:eastAsia="Times New Roman" w:cstheme="minorHAnsi"/>
          <w:color w:val="222222"/>
          <w:lang w:eastAsia="en-GB"/>
        </w:rPr>
        <w:t xml:space="preserve"> </w:t>
      </w:r>
      <w:hyperlink r:id="rId11" w:history="1">
        <w:r w:rsidR="00F6721B" w:rsidRPr="00E33B67">
          <w:rPr>
            <w:rStyle w:val="Hyperlink"/>
            <w:i/>
            <w:iCs/>
          </w:rPr>
          <w:t>Convention on the Rights of the Child | OHCHR</w:t>
        </w:r>
      </w:hyperlink>
      <w:r w:rsidRPr="00E33B67">
        <w:rPr>
          <w:rFonts w:eastAsia="Times New Roman" w:cstheme="minorHAnsi"/>
          <w:i/>
          <w:iCs/>
          <w:color w:val="222222"/>
          <w:lang w:eastAsia="en-GB"/>
        </w:rPr>
        <w:t xml:space="preserve"> </w:t>
      </w:r>
    </w:p>
    <w:p w14:paraId="1D20BDDC" w14:textId="3667ACA3" w:rsidR="00471583" w:rsidRDefault="00806F4B" w:rsidP="00D55FFC">
      <w:pPr>
        <w:shd w:val="clear" w:color="auto" w:fill="FFFFFF"/>
        <w:spacing w:before="120" w:after="120" w:line="360" w:lineRule="auto"/>
        <w:jc w:val="both"/>
      </w:pPr>
      <w:r>
        <w:t>H. M. Government (2015)</w:t>
      </w:r>
      <w:r w:rsidRPr="00E33B67">
        <w:rPr>
          <w:i/>
          <w:iCs/>
        </w:rPr>
        <w:t xml:space="preserve"> </w:t>
      </w:r>
      <w:r w:rsidR="00471583" w:rsidRPr="00E33B67">
        <w:rPr>
          <w:i/>
          <w:iCs/>
        </w:rPr>
        <w:t>Prevent Duty Guidance: for higher education institutions in England and Wales</w:t>
      </w:r>
      <w:r w:rsidR="00E33B67">
        <w:rPr>
          <w:i/>
          <w:iCs/>
        </w:rPr>
        <w:t>.</w:t>
      </w:r>
    </w:p>
    <w:p w14:paraId="2872CAC2" w14:textId="023FDEB9" w:rsidR="00FF2767" w:rsidRPr="00D55FFC" w:rsidRDefault="00FF2767" w:rsidP="00D55FFC">
      <w:pPr>
        <w:shd w:val="clear" w:color="auto" w:fill="FFFFFF"/>
        <w:spacing w:before="120" w:after="120" w:line="360" w:lineRule="auto"/>
        <w:jc w:val="both"/>
        <w:rPr>
          <w:rFonts w:eastAsia="Times New Roman" w:cstheme="minorHAnsi"/>
          <w:b/>
          <w:bCs/>
          <w:i/>
          <w:iCs/>
          <w:color w:val="000000"/>
          <w:lang w:eastAsia="en-GB"/>
        </w:rPr>
      </w:pPr>
      <w:r>
        <w:t xml:space="preserve">HRC (2021) </w:t>
      </w:r>
      <w:r w:rsidRPr="00530C55">
        <w:rPr>
          <w:i/>
          <w:iCs/>
        </w:rPr>
        <w:t>A/HRC/RES/47/21</w:t>
      </w:r>
      <w:r w:rsidR="00530C55" w:rsidRPr="00530C55">
        <w:rPr>
          <w:i/>
          <w:iCs/>
        </w:rPr>
        <w:t>- The George Floyd Resolution</w:t>
      </w:r>
      <w:r w:rsidR="00530C55">
        <w:rPr>
          <w:rFonts w:eastAsia="Times New Roman" w:cstheme="minorHAnsi"/>
          <w:b/>
          <w:bCs/>
          <w:i/>
          <w:iCs/>
          <w:color w:val="000000"/>
          <w:lang w:eastAsia="en-GB"/>
        </w:rPr>
        <w:t xml:space="preserve">. </w:t>
      </w:r>
      <w:r w:rsidR="00530C55" w:rsidRPr="004E7C6C">
        <w:rPr>
          <w:rFonts w:eastAsia="Times New Roman" w:cstheme="minorHAnsi"/>
          <w:color w:val="000000"/>
          <w:lang w:eastAsia="en-GB"/>
        </w:rPr>
        <w:t>UN</w:t>
      </w:r>
      <w:r w:rsidR="004E7C6C" w:rsidRPr="004E7C6C">
        <w:rPr>
          <w:rFonts w:eastAsia="Times New Roman" w:cstheme="minorHAnsi"/>
          <w:color w:val="000000"/>
          <w:lang w:eastAsia="en-GB"/>
        </w:rPr>
        <w:t>GA.</w:t>
      </w:r>
      <w:r w:rsidR="00530C55" w:rsidRPr="00530C55">
        <w:rPr>
          <w:rFonts w:eastAsia="Times New Roman" w:cstheme="minorHAnsi"/>
          <w:b/>
          <w:bCs/>
          <w:i/>
          <w:iCs/>
          <w:color w:val="000000"/>
          <w:lang w:eastAsia="en-GB"/>
        </w:rPr>
        <w:t xml:space="preserve"> </w:t>
      </w:r>
    </w:p>
    <w:p w14:paraId="5705A9B8" w14:textId="4256BDCF" w:rsidR="00D55FFC" w:rsidRDefault="00D55FFC" w:rsidP="00D55FFC">
      <w:pPr>
        <w:shd w:val="clear" w:color="auto" w:fill="FFFFFF"/>
        <w:spacing w:before="120" w:after="120" w:line="360" w:lineRule="auto"/>
        <w:jc w:val="both"/>
        <w:rPr>
          <w:rStyle w:val="Hyperlink"/>
          <w:rFonts w:cstheme="minorHAnsi"/>
        </w:rPr>
      </w:pPr>
      <w:r w:rsidRPr="000C2C18">
        <w:rPr>
          <w:rStyle w:val="Hyperlink"/>
          <w:rFonts w:cstheme="minorHAnsi"/>
        </w:rPr>
        <w:t xml:space="preserve">State of California (2021) </w:t>
      </w:r>
      <w:r w:rsidRPr="0052588B">
        <w:rPr>
          <w:rStyle w:val="Hyperlink"/>
          <w:rFonts w:cstheme="minorHAnsi"/>
          <w:i/>
          <w:iCs/>
        </w:rPr>
        <w:t>Task force on Reparations Draft Report</w:t>
      </w:r>
      <w:r w:rsidRPr="000C2C18">
        <w:rPr>
          <w:rStyle w:val="Hyperlink"/>
          <w:rFonts w:cstheme="minorHAnsi"/>
        </w:rPr>
        <w:t xml:space="preserve"> State of California</w:t>
      </w:r>
    </w:p>
    <w:p w14:paraId="14BC8AD0" w14:textId="780E5406" w:rsidR="00E33B67" w:rsidRPr="000C2C18" w:rsidRDefault="00E33B67" w:rsidP="00D55FFC">
      <w:pPr>
        <w:shd w:val="clear" w:color="auto" w:fill="FFFFFF"/>
        <w:spacing w:before="120" w:after="120" w:line="360" w:lineRule="auto"/>
        <w:jc w:val="both"/>
        <w:rPr>
          <w:rFonts w:eastAsia="Times New Roman" w:cstheme="minorHAnsi"/>
          <w:color w:val="222222"/>
          <w:lang w:eastAsia="en-GB"/>
        </w:rPr>
      </w:pPr>
      <w:r>
        <w:rPr>
          <w:rStyle w:val="Hyperlink"/>
          <w:rFonts w:cstheme="minorHAnsi"/>
        </w:rPr>
        <w:t xml:space="preserve">Taylor, A. (2022) </w:t>
      </w:r>
      <w:r w:rsidRPr="00E33B67">
        <w:rPr>
          <w:rStyle w:val="Hyperlink"/>
          <w:rFonts w:cstheme="minorHAnsi"/>
          <w:i/>
          <w:iCs/>
        </w:rPr>
        <w:t>African Voices Forum.</w:t>
      </w:r>
      <w:r>
        <w:rPr>
          <w:rStyle w:val="Hyperlink"/>
          <w:rFonts w:cstheme="minorHAnsi"/>
        </w:rPr>
        <w:t xml:space="preserve"> Bristol</w:t>
      </w:r>
    </w:p>
    <w:p w14:paraId="0F4CDB47" w14:textId="77777777" w:rsidR="00D55FFC" w:rsidRDefault="00D55FFC" w:rsidP="00D55FFC">
      <w:pPr>
        <w:spacing w:line="360" w:lineRule="auto"/>
        <w:jc w:val="both"/>
        <w:rPr>
          <w:rStyle w:val="Hyperlink"/>
          <w:rFonts w:cstheme="minorHAnsi"/>
        </w:rPr>
      </w:pPr>
      <w:r w:rsidRPr="000C2C18">
        <w:rPr>
          <w:rFonts w:cstheme="minorHAnsi"/>
        </w:rPr>
        <w:t xml:space="preserve">Williams, J. (2022) </w:t>
      </w:r>
      <w:hyperlink r:id="rId12" w:history="1">
        <w:r w:rsidRPr="000C2C18">
          <w:rPr>
            <w:rStyle w:val="Hyperlink"/>
            <w:rFonts w:cstheme="minorHAnsi"/>
            <w:i/>
            <w:iCs/>
          </w:rPr>
          <w:t>Sheffield Anti-Racist Education SHARE</w:t>
        </w:r>
        <w:r w:rsidRPr="000C2C18">
          <w:rPr>
            <w:rStyle w:val="Hyperlink"/>
            <w:rFonts w:cstheme="minorHAnsi"/>
          </w:rPr>
          <w:t xml:space="preserve"> – sheffieldantiracisteducation@gmail.com (sheffieldshare.org)</w:t>
        </w:r>
      </w:hyperlink>
    </w:p>
    <w:p w14:paraId="1C2B09FB" w14:textId="6CC33339" w:rsidR="00373C1F" w:rsidRPr="000C2C18" w:rsidRDefault="00EF4B28" w:rsidP="00D55FFC">
      <w:pPr>
        <w:spacing w:line="360" w:lineRule="auto"/>
        <w:jc w:val="both"/>
        <w:rPr>
          <w:rStyle w:val="Hyperlink"/>
          <w:rFonts w:cstheme="minorHAnsi"/>
        </w:rPr>
      </w:pPr>
      <w:r>
        <w:t xml:space="preserve">HRC (2021) </w:t>
      </w:r>
      <w:r w:rsidRPr="00EF4B28">
        <w:rPr>
          <w:i/>
          <w:iCs/>
        </w:rPr>
        <w:t>A/HRC/RES/47/21</w:t>
      </w:r>
      <w:r>
        <w:t xml:space="preserve"> </w:t>
      </w:r>
      <w:r w:rsidR="00373C1F" w:rsidRPr="00EF4B28">
        <w:t>G2119903.pdf (un.org)</w:t>
      </w:r>
      <w:r>
        <w:rPr>
          <w:rStyle w:val="Hyperlink"/>
          <w:rFonts w:cstheme="minorHAnsi"/>
        </w:rPr>
        <w:t>. UNGA</w:t>
      </w:r>
    </w:p>
    <w:p w14:paraId="27343433" w14:textId="77777777" w:rsidR="00292B1A" w:rsidRDefault="00292B1A" w:rsidP="0006423F"/>
    <w:p w14:paraId="195130F4" w14:textId="77777777" w:rsidR="00292B1A" w:rsidRDefault="00292B1A" w:rsidP="0006423F"/>
    <w:p w14:paraId="7070EFB6" w14:textId="77777777" w:rsidR="00292B1A" w:rsidRDefault="00292B1A" w:rsidP="0006423F"/>
    <w:p w14:paraId="69A27A1F" w14:textId="77777777" w:rsidR="00292B1A" w:rsidRDefault="00292B1A" w:rsidP="0006423F"/>
    <w:p w14:paraId="78B50CE4" w14:textId="77777777" w:rsidR="00292B1A" w:rsidRDefault="00292B1A" w:rsidP="0006423F"/>
    <w:p w14:paraId="604467B0" w14:textId="77777777" w:rsidR="00292B1A" w:rsidRDefault="00292B1A" w:rsidP="0006423F"/>
    <w:p w14:paraId="3C213B20" w14:textId="77777777" w:rsidR="00292B1A" w:rsidRDefault="00292B1A" w:rsidP="0006423F"/>
    <w:p w14:paraId="52DCC8B4" w14:textId="77777777" w:rsidR="00292B1A" w:rsidRDefault="00292B1A" w:rsidP="0006423F"/>
    <w:p w14:paraId="29CEED60" w14:textId="77777777" w:rsidR="00292B1A" w:rsidRDefault="00292B1A" w:rsidP="0006423F"/>
    <w:p w14:paraId="65139C73" w14:textId="77777777" w:rsidR="00292B1A" w:rsidRDefault="00292B1A" w:rsidP="0006423F"/>
    <w:p w14:paraId="2BF77711" w14:textId="77777777" w:rsidR="00292B1A" w:rsidRDefault="00292B1A" w:rsidP="0006423F"/>
    <w:p w14:paraId="3969CE34" w14:textId="77777777" w:rsidR="00292B1A" w:rsidRDefault="00292B1A" w:rsidP="0006423F"/>
    <w:p w14:paraId="655FC725" w14:textId="77777777" w:rsidR="00292B1A" w:rsidRDefault="00292B1A" w:rsidP="0006423F"/>
    <w:p w14:paraId="7854AD1A" w14:textId="77777777" w:rsidR="00292B1A" w:rsidRDefault="00292B1A" w:rsidP="0006423F"/>
    <w:p w14:paraId="02D7DF81" w14:textId="77777777" w:rsidR="00292B1A" w:rsidRDefault="00292B1A" w:rsidP="0006423F"/>
    <w:p w14:paraId="30089D12" w14:textId="77777777" w:rsidR="00292B1A" w:rsidRDefault="00292B1A" w:rsidP="0006423F"/>
    <w:p w14:paraId="713E9E0D" w14:textId="77777777" w:rsidR="00292B1A" w:rsidRDefault="00292B1A" w:rsidP="0006423F"/>
    <w:p w14:paraId="2A9A390A" w14:textId="77777777" w:rsidR="00292B1A" w:rsidRDefault="00292B1A" w:rsidP="0006423F"/>
    <w:p w14:paraId="66FEE665" w14:textId="77777777" w:rsidR="00292B1A" w:rsidRDefault="00292B1A" w:rsidP="0006423F"/>
    <w:p w14:paraId="4564C0E7" w14:textId="77777777" w:rsidR="00292B1A" w:rsidRDefault="00292B1A" w:rsidP="0006423F"/>
    <w:p w14:paraId="26400FE4" w14:textId="77777777" w:rsidR="00292B1A" w:rsidRDefault="00292B1A" w:rsidP="0006423F"/>
    <w:p w14:paraId="1FD39F26" w14:textId="77777777" w:rsidR="00493314" w:rsidRDefault="00493314" w:rsidP="0006423F"/>
    <w:p w14:paraId="66293C92" w14:textId="77777777" w:rsidR="00D55FFC" w:rsidRDefault="00D55FFC"/>
    <w:sectPr w:rsidR="00D55FF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D6BA" w14:textId="77777777" w:rsidR="009F01A7" w:rsidRDefault="009F01A7" w:rsidP="009C187C">
      <w:pPr>
        <w:spacing w:after="0" w:line="240" w:lineRule="auto"/>
      </w:pPr>
      <w:r>
        <w:separator/>
      </w:r>
    </w:p>
  </w:endnote>
  <w:endnote w:type="continuationSeparator" w:id="0">
    <w:p w14:paraId="48204CA5" w14:textId="77777777" w:rsidR="009F01A7" w:rsidRDefault="009F01A7" w:rsidP="009C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758198"/>
      <w:docPartObj>
        <w:docPartGallery w:val="Page Numbers (Bottom of Page)"/>
        <w:docPartUnique/>
      </w:docPartObj>
    </w:sdtPr>
    <w:sdtEndPr>
      <w:rPr>
        <w:noProof/>
      </w:rPr>
    </w:sdtEndPr>
    <w:sdtContent>
      <w:p w14:paraId="3AA1F817" w14:textId="00EA7F93" w:rsidR="00C50974" w:rsidRDefault="00C509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5E8EBB" w14:textId="554D5A08" w:rsidR="00465A36" w:rsidRDefault="001D09DA">
    <w:pPr>
      <w:pStyle w:val="Footer"/>
    </w:pPr>
    <w:r>
      <w:t>© H. B. A. Olaiya, M.A.                    UNESCO Inclusive Policy Lab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69F7" w14:textId="77777777" w:rsidR="009F01A7" w:rsidRDefault="009F01A7" w:rsidP="009C187C">
      <w:pPr>
        <w:spacing w:after="0" w:line="240" w:lineRule="auto"/>
      </w:pPr>
      <w:r>
        <w:separator/>
      </w:r>
    </w:p>
  </w:footnote>
  <w:footnote w:type="continuationSeparator" w:id="0">
    <w:p w14:paraId="498F8AC6" w14:textId="77777777" w:rsidR="009F01A7" w:rsidRDefault="009F01A7" w:rsidP="009C1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C41B" w14:textId="28A2D1C4" w:rsidR="009C187C" w:rsidRDefault="009C187C">
    <w:pPr>
      <w:pStyle w:val="Header"/>
    </w:pPr>
    <w:r>
      <w:rPr>
        <w:noProof/>
      </w:rPr>
      <w:drawing>
        <wp:inline distT="0" distB="0" distL="0" distR="0" wp14:anchorId="095612CA" wp14:editId="0C07C7A1">
          <wp:extent cx="5731510" cy="913765"/>
          <wp:effectExtent l="0" t="0" r="254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913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3C7"/>
    <w:multiLevelType w:val="hybridMultilevel"/>
    <w:tmpl w:val="CF58220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9104F5"/>
    <w:multiLevelType w:val="hybridMultilevel"/>
    <w:tmpl w:val="4FD4DBB0"/>
    <w:lvl w:ilvl="0" w:tplc="033A22E0">
      <w:start w:val="1"/>
      <w:numFmt w:val="decimal"/>
      <w:lvlText w:val="%1."/>
      <w:lvlJc w:val="left"/>
      <w:pPr>
        <w:ind w:left="720" w:hanging="360"/>
      </w:pPr>
      <w:rPr>
        <w:rFonts w:hint="default"/>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50ABE"/>
    <w:multiLevelType w:val="hybridMultilevel"/>
    <w:tmpl w:val="A240EBC6"/>
    <w:lvl w:ilvl="0" w:tplc="767CF1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0165172">
    <w:abstractNumId w:val="2"/>
  </w:num>
  <w:num w:numId="2" w16cid:durableId="1514220583">
    <w:abstractNumId w:val="1"/>
  </w:num>
  <w:num w:numId="3" w16cid:durableId="1763721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7C"/>
    <w:rsid w:val="000009CD"/>
    <w:rsid w:val="000044FE"/>
    <w:rsid w:val="0000659A"/>
    <w:rsid w:val="00007E02"/>
    <w:rsid w:val="0001024B"/>
    <w:rsid w:val="00014EFB"/>
    <w:rsid w:val="00015753"/>
    <w:rsid w:val="000164F5"/>
    <w:rsid w:val="00021A8D"/>
    <w:rsid w:val="00023456"/>
    <w:rsid w:val="0002584F"/>
    <w:rsid w:val="0003776D"/>
    <w:rsid w:val="00037BEA"/>
    <w:rsid w:val="00041796"/>
    <w:rsid w:val="0004587D"/>
    <w:rsid w:val="000542EF"/>
    <w:rsid w:val="00055C5D"/>
    <w:rsid w:val="000640BC"/>
    <w:rsid w:val="0006423F"/>
    <w:rsid w:val="00064656"/>
    <w:rsid w:val="00070B56"/>
    <w:rsid w:val="00074656"/>
    <w:rsid w:val="000748D1"/>
    <w:rsid w:val="0007724C"/>
    <w:rsid w:val="00077E01"/>
    <w:rsid w:val="00085383"/>
    <w:rsid w:val="000910B6"/>
    <w:rsid w:val="00092C2D"/>
    <w:rsid w:val="00095C4F"/>
    <w:rsid w:val="00096768"/>
    <w:rsid w:val="00096930"/>
    <w:rsid w:val="000A1840"/>
    <w:rsid w:val="000A486F"/>
    <w:rsid w:val="000B04A9"/>
    <w:rsid w:val="000B1275"/>
    <w:rsid w:val="000B5B86"/>
    <w:rsid w:val="000B74F6"/>
    <w:rsid w:val="000C1987"/>
    <w:rsid w:val="000C45EA"/>
    <w:rsid w:val="000C59D6"/>
    <w:rsid w:val="000D1B88"/>
    <w:rsid w:val="000D2A1F"/>
    <w:rsid w:val="000D3D91"/>
    <w:rsid w:val="000D5C13"/>
    <w:rsid w:val="000D5F8B"/>
    <w:rsid w:val="000E0991"/>
    <w:rsid w:val="000E15F7"/>
    <w:rsid w:val="000E5C65"/>
    <w:rsid w:val="000F09A7"/>
    <w:rsid w:val="000F1209"/>
    <w:rsid w:val="000F1C05"/>
    <w:rsid w:val="000F23CC"/>
    <w:rsid w:val="0010150B"/>
    <w:rsid w:val="001064DE"/>
    <w:rsid w:val="00106749"/>
    <w:rsid w:val="001067C8"/>
    <w:rsid w:val="00110371"/>
    <w:rsid w:val="0011096F"/>
    <w:rsid w:val="00110E6F"/>
    <w:rsid w:val="00111071"/>
    <w:rsid w:val="001155CD"/>
    <w:rsid w:val="00117CBC"/>
    <w:rsid w:val="0012526F"/>
    <w:rsid w:val="0012533B"/>
    <w:rsid w:val="00130C47"/>
    <w:rsid w:val="001359CA"/>
    <w:rsid w:val="00136723"/>
    <w:rsid w:val="00142351"/>
    <w:rsid w:val="00145A34"/>
    <w:rsid w:val="001526DC"/>
    <w:rsid w:val="00154B89"/>
    <w:rsid w:val="001609D3"/>
    <w:rsid w:val="001641EA"/>
    <w:rsid w:val="00167991"/>
    <w:rsid w:val="00170386"/>
    <w:rsid w:val="001705F1"/>
    <w:rsid w:val="0017278C"/>
    <w:rsid w:val="001776CF"/>
    <w:rsid w:val="00182365"/>
    <w:rsid w:val="001840F0"/>
    <w:rsid w:val="00192987"/>
    <w:rsid w:val="001957AE"/>
    <w:rsid w:val="00197715"/>
    <w:rsid w:val="00197F21"/>
    <w:rsid w:val="001A7525"/>
    <w:rsid w:val="001A764D"/>
    <w:rsid w:val="001B15F8"/>
    <w:rsid w:val="001B1CB7"/>
    <w:rsid w:val="001C3678"/>
    <w:rsid w:val="001C5008"/>
    <w:rsid w:val="001C732A"/>
    <w:rsid w:val="001D01C4"/>
    <w:rsid w:val="001D09DA"/>
    <w:rsid w:val="001D0E51"/>
    <w:rsid w:val="001D2EAF"/>
    <w:rsid w:val="001D324D"/>
    <w:rsid w:val="001D34D0"/>
    <w:rsid w:val="001D41E8"/>
    <w:rsid w:val="001E214D"/>
    <w:rsid w:val="001E2F54"/>
    <w:rsid w:val="001E31CB"/>
    <w:rsid w:val="001E68E9"/>
    <w:rsid w:val="001E7526"/>
    <w:rsid w:val="001F19B3"/>
    <w:rsid w:val="001F2DCA"/>
    <w:rsid w:val="001F635F"/>
    <w:rsid w:val="001F64D0"/>
    <w:rsid w:val="002009C2"/>
    <w:rsid w:val="0020316D"/>
    <w:rsid w:val="00203D92"/>
    <w:rsid w:val="00206393"/>
    <w:rsid w:val="00207B37"/>
    <w:rsid w:val="00211622"/>
    <w:rsid w:val="00212318"/>
    <w:rsid w:val="00215ABC"/>
    <w:rsid w:val="00217FE4"/>
    <w:rsid w:val="002227FD"/>
    <w:rsid w:val="00226A79"/>
    <w:rsid w:val="00231284"/>
    <w:rsid w:val="0023289C"/>
    <w:rsid w:val="00240F13"/>
    <w:rsid w:val="002457EC"/>
    <w:rsid w:val="00255F87"/>
    <w:rsid w:val="00256F6E"/>
    <w:rsid w:val="002628CE"/>
    <w:rsid w:val="00262CD0"/>
    <w:rsid w:val="00264F85"/>
    <w:rsid w:val="0026641E"/>
    <w:rsid w:val="002673D2"/>
    <w:rsid w:val="00271134"/>
    <w:rsid w:val="00275032"/>
    <w:rsid w:val="002864DC"/>
    <w:rsid w:val="00286909"/>
    <w:rsid w:val="00286C1B"/>
    <w:rsid w:val="00291A19"/>
    <w:rsid w:val="00292B1A"/>
    <w:rsid w:val="0029712C"/>
    <w:rsid w:val="002A146D"/>
    <w:rsid w:val="002A2899"/>
    <w:rsid w:val="002A31DF"/>
    <w:rsid w:val="002A3484"/>
    <w:rsid w:val="002A360A"/>
    <w:rsid w:val="002A3A60"/>
    <w:rsid w:val="002A4FF8"/>
    <w:rsid w:val="002B0F5B"/>
    <w:rsid w:val="002B5EAC"/>
    <w:rsid w:val="002C2D79"/>
    <w:rsid w:val="002C5811"/>
    <w:rsid w:val="002C7BF0"/>
    <w:rsid w:val="002D35A3"/>
    <w:rsid w:val="002D7452"/>
    <w:rsid w:val="002D747E"/>
    <w:rsid w:val="002E570A"/>
    <w:rsid w:val="002E5E36"/>
    <w:rsid w:val="002F2237"/>
    <w:rsid w:val="002F2B08"/>
    <w:rsid w:val="002F5C90"/>
    <w:rsid w:val="002F69A5"/>
    <w:rsid w:val="002F6C79"/>
    <w:rsid w:val="002F6D4D"/>
    <w:rsid w:val="00302034"/>
    <w:rsid w:val="003024B3"/>
    <w:rsid w:val="00302599"/>
    <w:rsid w:val="003025ED"/>
    <w:rsid w:val="00302BB0"/>
    <w:rsid w:val="00307F79"/>
    <w:rsid w:val="00333242"/>
    <w:rsid w:val="00335822"/>
    <w:rsid w:val="0033732B"/>
    <w:rsid w:val="00337AA3"/>
    <w:rsid w:val="00337D5C"/>
    <w:rsid w:val="00351B12"/>
    <w:rsid w:val="00351F15"/>
    <w:rsid w:val="00355038"/>
    <w:rsid w:val="00355379"/>
    <w:rsid w:val="003572E8"/>
    <w:rsid w:val="003613DE"/>
    <w:rsid w:val="00361C19"/>
    <w:rsid w:val="00362754"/>
    <w:rsid w:val="00363685"/>
    <w:rsid w:val="00364FA2"/>
    <w:rsid w:val="00367DF8"/>
    <w:rsid w:val="00370482"/>
    <w:rsid w:val="00371551"/>
    <w:rsid w:val="00373C1F"/>
    <w:rsid w:val="0038422E"/>
    <w:rsid w:val="00391725"/>
    <w:rsid w:val="00394976"/>
    <w:rsid w:val="00397A75"/>
    <w:rsid w:val="003A2B80"/>
    <w:rsid w:val="003A61A9"/>
    <w:rsid w:val="003A677C"/>
    <w:rsid w:val="003A6C86"/>
    <w:rsid w:val="003A6FBC"/>
    <w:rsid w:val="003B1FB4"/>
    <w:rsid w:val="003C4747"/>
    <w:rsid w:val="003C561F"/>
    <w:rsid w:val="003D31A5"/>
    <w:rsid w:val="003D31CA"/>
    <w:rsid w:val="003E066E"/>
    <w:rsid w:val="003E175F"/>
    <w:rsid w:val="003E5204"/>
    <w:rsid w:val="003E59B0"/>
    <w:rsid w:val="003F1156"/>
    <w:rsid w:val="003F4956"/>
    <w:rsid w:val="003F4CEF"/>
    <w:rsid w:val="004015E1"/>
    <w:rsid w:val="00402C26"/>
    <w:rsid w:val="00406826"/>
    <w:rsid w:val="00410D39"/>
    <w:rsid w:val="00422090"/>
    <w:rsid w:val="004225A8"/>
    <w:rsid w:val="00423AD8"/>
    <w:rsid w:val="004340C5"/>
    <w:rsid w:val="004350EF"/>
    <w:rsid w:val="004508C1"/>
    <w:rsid w:val="004511A3"/>
    <w:rsid w:val="00457D28"/>
    <w:rsid w:val="00460E9B"/>
    <w:rsid w:val="004611E9"/>
    <w:rsid w:val="00462FBC"/>
    <w:rsid w:val="004632BC"/>
    <w:rsid w:val="00465A36"/>
    <w:rsid w:val="004663A6"/>
    <w:rsid w:val="00467F95"/>
    <w:rsid w:val="00471583"/>
    <w:rsid w:val="004735E5"/>
    <w:rsid w:val="00473676"/>
    <w:rsid w:val="00473FC3"/>
    <w:rsid w:val="004751F5"/>
    <w:rsid w:val="0048500E"/>
    <w:rsid w:val="00487165"/>
    <w:rsid w:val="00490AAE"/>
    <w:rsid w:val="004912C8"/>
    <w:rsid w:val="00493314"/>
    <w:rsid w:val="0049462A"/>
    <w:rsid w:val="004A17A7"/>
    <w:rsid w:val="004A31B7"/>
    <w:rsid w:val="004A3452"/>
    <w:rsid w:val="004A589C"/>
    <w:rsid w:val="004A6118"/>
    <w:rsid w:val="004B61E2"/>
    <w:rsid w:val="004B7F27"/>
    <w:rsid w:val="004C1C36"/>
    <w:rsid w:val="004C21ED"/>
    <w:rsid w:val="004C6BBE"/>
    <w:rsid w:val="004C6D16"/>
    <w:rsid w:val="004C7D85"/>
    <w:rsid w:val="004D0F22"/>
    <w:rsid w:val="004D14FC"/>
    <w:rsid w:val="004D1998"/>
    <w:rsid w:val="004D2C4E"/>
    <w:rsid w:val="004E2270"/>
    <w:rsid w:val="004E3BD1"/>
    <w:rsid w:val="004E79EC"/>
    <w:rsid w:val="004E7C6C"/>
    <w:rsid w:val="004F0EB7"/>
    <w:rsid w:val="004F3463"/>
    <w:rsid w:val="004F4663"/>
    <w:rsid w:val="004F4CFD"/>
    <w:rsid w:val="004F695B"/>
    <w:rsid w:val="00506F02"/>
    <w:rsid w:val="00510033"/>
    <w:rsid w:val="00512AD5"/>
    <w:rsid w:val="00513936"/>
    <w:rsid w:val="00524540"/>
    <w:rsid w:val="00525450"/>
    <w:rsid w:val="0052575F"/>
    <w:rsid w:val="0052588B"/>
    <w:rsid w:val="00527D8C"/>
    <w:rsid w:val="00530C55"/>
    <w:rsid w:val="00557EE7"/>
    <w:rsid w:val="00560F12"/>
    <w:rsid w:val="00565C75"/>
    <w:rsid w:val="00567103"/>
    <w:rsid w:val="00574788"/>
    <w:rsid w:val="00575A4D"/>
    <w:rsid w:val="00580F5E"/>
    <w:rsid w:val="00581DA1"/>
    <w:rsid w:val="005829BA"/>
    <w:rsid w:val="0058595B"/>
    <w:rsid w:val="00587D87"/>
    <w:rsid w:val="00590FB1"/>
    <w:rsid w:val="0059666E"/>
    <w:rsid w:val="005A205A"/>
    <w:rsid w:val="005A3212"/>
    <w:rsid w:val="005A3EC4"/>
    <w:rsid w:val="005A567B"/>
    <w:rsid w:val="005B239C"/>
    <w:rsid w:val="005B2E7B"/>
    <w:rsid w:val="005B4FAB"/>
    <w:rsid w:val="005B6E79"/>
    <w:rsid w:val="005C0614"/>
    <w:rsid w:val="005C0AA6"/>
    <w:rsid w:val="005D17E3"/>
    <w:rsid w:val="005D474E"/>
    <w:rsid w:val="005D7830"/>
    <w:rsid w:val="005D7E36"/>
    <w:rsid w:val="005E7149"/>
    <w:rsid w:val="005F3520"/>
    <w:rsid w:val="00607A67"/>
    <w:rsid w:val="00614B54"/>
    <w:rsid w:val="006155D8"/>
    <w:rsid w:val="00620003"/>
    <w:rsid w:val="00630B4C"/>
    <w:rsid w:val="006322DE"/>
    <w:rsid w:val="00632BC6"/>
    <w:rsid w:val="006343E1"/>
    <w:rsid w:val="00642F58"/>
    <w:rsid w:val="00645255"/>
    <w:rsid w:val="00645E1B"/>
    <w:rsid w:val="00646F9A"/>
    <w:rsid w:val="0065150A"/>
    <w:rsid w:val="006562F3"/>
    <w:rsid w:val="006570F9"/>
    <w:rsid w:val="00660CEA"/>
    <w:rsid w:val="00663839"/>
    <w:rsid w:val="00665153"/>
    <w:rsid w:val="00665280"/>
    <w:rsid w:val="00665D3E"/>
    <w:rsid w:val="00670DAF"/>
    <w:rsid w:val="00672E0C"/>
    <w:rsid w:val="006747A7"/>
    <w:rsid w:val="006776CC"/>
    <w:rsid w:val="006829B2"/>
    <w:rsid w:val="006854DF"/>
    <w:rsid w:val="00685E77"/>
    <w:rsid w:val="00690713"/>
    <w:rsid w:val="0069121B"/>
    <w:rsid w:val="00693DA2"/>
    <w:rsid w:val="00694040"/>
    <w:rsid w:val="00694CF0"/>
    <w:rsid w:val="006963CB"/>
    <w:rsid w:val="006A0B4C"/>
    <w:rsid w:val="006A1391"/>
    <w:rsid w:val="006A3435"/>
    <w:rsid w:val="006B33F4"/>
    <w:rsid w:val="006B47DA"/>
    <w:rsid w:val="006B501A"/>
    <w:rsid w:val="006B5B97"/>
    <w:rsid w:val="006C32B8"/>
    <w:rsid w:val="006C3951"/>
    <w:rsid w:val="006C4D58"/>
    <w:rsid w:val="006C79F7"/>
    <w:rsid w:val="006D63F4"/>
    <w:rsid w:val="006D726F"/>
    <w:rsid w:val="006E1CD1"/>
    <w:rsid w:val="006E3F7A"/>
    <w:rsid w:val="006F1F4E"/>
    <w:rsid w:val="006F231F"/>
    <w:rsid w:val="006F71CD"/>
    <w:rsid w:val="00700D77"/>
    <w:rsid w:val="007026E6"/>
    <w:rsid w:val="00702B44"/>
    <w:rsid w:val="007049D7"/>
    <w:rsid w:val="00707FA3"/>
    <w:rsid w:val="007100C8"/>
    <w:rsid w:val="00710ACD"/>
    <w:rsid w:val="007149BA"/>
    <w:rsid w:val="00727421"/>
    <w:rsid w:val="00727B80"/>
    <w:rsid w:val="00730C24"/>
    <w:rsid w:val="00731C48"/>
    <w:rsid w:val="00735AC8"/>
    <w:rsid w:val="00740FD7"/>
    <w:rsid w:val="007413CB"/>
    <w:rsid w:val="007519AA"/>
    <w:rsid w:val="007561CE"/>
    <w:rsid w:val="00762892"/>
    <w:rsid w:val="00767602"/>
    <w:rsid w:val="0079060B"/>
    <w:rsid w:val="007928BF"/>
    <w:rsid w:val="00795483"/>
    <w:rsid w:val="007A391D"/>
    <w:rsid w:val="007A5CAB"/>
    <w:rsid w:val="007A697A"/>
    <w:rsid w:val="007B0D72"/>
    <w:rsid w:val="007B20A0"/>
    <w:rsid w:val="007B2D3E"/>
    <w:rsid w:val="007B387C"/>
    <w:rsid w:val="007B5D08"/>
    <w:rsid w:val="007B717C"/>
    <w:rsid w:val="007C37D5"/>
    <w:rsid w:val="007C3A7B"/>
    <w:rsid w:val="007C4217"/>
    <w:rsid w:val="007C7789"/>
    <w:rsid w:val="007D11C0"/>
    <w:rsid w:val="007D1C35"/>
    <w:rsid w:val="007D2AB1"/>
    <w:rsid w:val="007D35B8"/>
    <w:rsid w:val="007D423C"/>
    <w:rsid w:val="007D4579"/>
    <w:rsid w:val="007E718E"/>
    <w:rsid w:val="007F257C"/>
    <w:rsid w:val="007F43D0"/>
    <w:rsid w:val="007F62D9"/>
    <w:rsid w:val="007F6CEC"/>
    <w:rsid w:val="007F6F35"/>
    <w:rsid w:val="00803394"/>
    <w:rsid w:val="00804B94"/>
    <w:rsid w:val="00806D09"/>
    <w:rsid w:val="00806F4B"/>
    <w:rsid w:val="00811E0B"/>
    <w:rsid w:val="00811E90"/>
    <w:rsid w:val="00821D9C"/>
    <w:rsid w:val="008220AA"/>
    <w:rsid w:val="008221A1"/>
    <w:rsid w:val="0083207A"/>
    <w:rsid w:val="008323A2"/>
    <w:rsid w:val="00833A20"/>
    <w:rsid w:val="00833C60"/>
    <w:rsid w:val="00834713"/>
    <w:rsid w:val="00840231"/>
    <w:rsid w:val="008418D6"/>
    <w:rsid w:val="00841B6E"/>
    <w:rsid w:val="00842330"/>
    <w:rsid w:val="008446D5"/>
    <w:rsid w:val="00845DEF"/>
    <w:rsid w:val="00845E9A"/>
    <w:rsid w:val="008505EF"/>
    <w:rsid w:val="008520C2"/>
    <w:rsid w:val="00854B27"/>
    <w:rsid w:val="00857129"/>
    <w:rsid w:val="008618CB"/>
    <w:rsid w:val="008662F8"/>
    <w:rsid w:val="00871A19"/>
    <w:rsid w:val="00872350"/>
    <w:rsid w:val="00877DB0"/>
    <w:rsid w:val="0088145C"/>
    <w:rsid w:val="008864D6"/>
    <w:rsid w:val="00887231"/>
    <w:rsid w:val="00891663"/>
    <w:rsid w:val="00893BBD"/>
    <w:rsid w:val="00893E07"/>
    <w:rsid w:val="00894A82"/>
    <w:rsid w:val="00894E96"/>
    <w:rsid w:val="008A26B8"/>
    <w:rsid w:val="008A2A9E"/>
    <w:rsid w:val="008B1F30"/>
    <w:rsid w:val="008B2EE1"/>
    <w:rsid w:val="008B4EAE"/>
    <w:rsid w:val="008B50A4"/>
    <w:rsid w:val="008B5B1A"/>
    <w:rsid w:val="008B6CF3"/>
    <w:rsid w:val="008B74D1"/>
    <w:rsid w:val="008C2E6D"/>
    <w:rsid w:val="008C3BD7"/>
    <w:rsid w:val="008C3DCC"/>
    <w:rsid w:val="008C590D"/>
    <w:rsid w:val="008C7082"/>
    <w:rsid w:val="008D0528"/>
    <w:rsid w:val="008D0722"/>
    <w:rsid w:val="008D4C81"/>
    <w:rsid w:val="008D5737"/>
    <w:rsid w:val="008D6D26"/>
    <w:rsid w:val="008E0A9D"/>
    <w:rsid w:val="008E1DA6"/>
    <w:rsid w:val="008E258F"/>
    <w:rsid w:val="008E27F9"/>
    <w:rsid w:val="008E6F8A"/>
    <w:rsid w:val="008E702E"/>
    <w:rsid w:val="008F6B69"/>
    <w:rsid w:val="008F7F3B"/>
    <w:rsid w:val="009011B3"/>
    <w:rsid w:val="00904420"/>
    <w:rsid w:val="00904AD0"/>
    <w:rsid w:val="00904FE5"/>
    <w:rsid w:val="00905591"/>
    <w:rsid w:val="00906C34"/>
    <w:rsid w:val="009131DC"/>
    <w:rsid w:val="00914F53"/>
    <w:rsid w:val="00920A2E"/>
    <w:rsid w:val="00923F3A"/>
    <w:rsid w:val="0092780A"/>
    <w:rsid w:val="0093021F"/>
    <w:rsid w:val="00932B1A"/>
    <w:rsid w:val="009342BB"/>
    <w:rsid w:val="00934782"/>
    <w:rsid w:val="00934F0F"/>
    <w:rsid w:val="0093596B"/>
    <w:rsid w:val="00941322"/>
    <w:rsid w:val="00942F9C"/>
    <w:rsid w:val="009476CB"/>
    <w:rsid w:val="0095364D"/>
    <w:rsid w:val="00953A5D"/>
    <w:rsid w:val="009542AB"/>
    <w:rsid w:val="00956BA2"/>
    <w:rsid w:val="00964DA9"/>
    <w:rsid w:val="00970A81"/>
    <w:rsid w:val="009726F5"/>
    <w:rsid w:val="00975EA5"/>
    <w:rsid w:val="00981CB2"/>
    <w:rsid w:val="00982B67"/>
    <w:rsid w:val="00985A2D"/>
    <w:rsid w:val="00986B76"/>
    <w:rsid w:val="009926D3"/>
    <w:rsid w:val="009933D1"/>
    <w:rsid w:val="00994ADE"/>
    <w:rsid w:val="009974E6"/>
    <w:rsid w:val="009A12A0"/>
    <w:rsid w:val="009A3C2B"/>
    <w:rsid w:val="009A77D6"/>
    <w:rsid w:val="009B1F0C"/>
    <w:rsid w:val="009B4E9A"/>
    <w:rsid w:val="009C187C"/>
    <w:rsid w:val="009C5015"/>
    <w:rsid w:val="009D233B"/>
    <w:rsid w:val="009D5163"/>
    <w:rsid w:val="009E3104"/>
    <w:rsid w:val="009E5A76"/>
    <w:rsid w:val="009E5FD7"/>
    <w:rsid w:val="009E66BF"/>
    <w:rsid w:val="009F01A7"/>
    <w:rsid w:val="009F136D"/>
    <w:rsid w:val="009F22F4"/>
    <w:rsid w:val="009F5102"/>
    <w:rsid w:val="009F57A4"/>
    <w:rsid w:val="00A004EB"/>
    <w:rsid w:val="00A04880"/>
    <w:rsid w:val="00A0532A"/>
    <w:rsid w:val="00A06FAA"/>
    <w:rsid w:val="00A0765E"/>
    <w:rsid w:val="00A11D00"/>
    <w:rsid w:val="00A1317B"/>
    <w:rsid w:val="00A13427"/>
    <w:rsid w:val="00A135B7"/>
    <w:rsid w:val="00A16225"/>
    <w:rsid w:val="00A16363"/>
    <w:rsid w:val="00A1710D"/>
    <w:rsid w:val="00A2014B"/>
    <w:rsid w:val="00A20E12"/>
    <w:rsid w:val="00A22B33"/>
    <w:rsid w:val="00A26D85"/>
    <w:rsid w:val="00A31A08"/>
    <w:rsid w:val="00A31A74"/>
    <w:rsid w:val="00A33884"/>
    <w:rsid w:val="00A34BAB"/>
    <w:rsid w:val="00A35AF9"/>
    <w:rsid w:val="00A37399"/>
    <w:rsid w:val="00A37C12"/>
    <w:rsid w:val="00A41A38"/>
    <w:rsid w:val="00A41B35"/>
    <w:rsid w:val="00A41E6E"/>
    <w:rsid w:val="00A43D0A"/>
    <w:rsid w:val="00A44B50"/>
    <w:rsid w:val="00A47605"/>
    <w:rsid w:val="00A476C8"/>
    <w:rsid w:val="00A53299"/>
    <w:rsid w:val="00A55A85"/>
    <w:rsid w:val="00A62516"/>
    <w:rsid w:val="00A65DA0"/>
    <w:rsid w:val="00A66D35"/>
    <w:rsid w:val="00A72686"/>
    <w:rsid w:val="00A7529B"/>
    <w:rsid w:val="00A82822"/>
    <w:rsid w:val="00A84273"/>
    <w:rsid w:val="00A86C10"/>
    <w:rsid w:val="00A87B0A"/>
    <w:rsid w:val="00A91562"/>
    <w:rsid w:val="00A94DCD"/>
    <w:rsid w:val="00AA142E"/>
    <w:rsid w:val="00AA357A"/>
    <w:rsid w:val="00AB06A6"/>
    <w:rsid w:val="00AB2303"/>
    <w:rsid w:val="00AB2C6E"/>
    <w:rsid w:val="00AB5C22"/>
    <w:rsid w:val="00AB5D29"/>
    <w:rsid w:val="00AB610A"/>
    <w:rsid w:val="00AC3C3B"/>
    <w:rsid w:val="00AC5985"/>
    <w:rsid w:val="00AC64BB"/>
    <w:rsid w:val="00AC7E2C"/>
    <w:rsid w:val="00AD0138"/>
    <w:rsid w:val="00AD2266"/>
    <w:rsid w:val="00AE0919"/>
    <w:rsid w:val="00AE4FFD"/>
    <w:rsid w:val="00AE5838"/>
    <w:rsid w:val="00AE784D"/>
    <w:rsid w:val="00AF102B"/>
    <w:rsid w:val="00AF190D"/>
    <w:rsid w:val="00AF5F8E"/>
    <w:rsid w:val="00AF712D"/>
    <w:rsid w:val="00B05E48"/>
    <w:rsid w:val="00B10E9B"/>
    <w:rsid w:val="00B126EE"/>
    <w:rsid w:val="00B13630"/>
    <w:rsid w:val="00B17D59"/>
    <w:rsid w:val="00B32D57"/>
    <w:rsid w:val="00B351C8"/>
    <w:rsid w:val="00B372AD"/>
    <w:rsid w:val="00B3733B"/>
    <w:rsid w:val="00B37672"/>
    <w:rsid w:val="00B37F4A"/>
    <w:rsid w:val="00B42E43"/>
    <w:rsid w:val="00B43764"/>
    <w:rsid w:val="00B4504B"/>
    <w:rsid w:val="00B45E07"/>
    <w:rsid w:val="00B46434"/>
    <w:rsid w:val="00B479D0"/>
    <w:rsid w:val="00B50C18"/>
    <w:rsid w:val="00B53D79"/>
    <w:rsid w:val="00B54485"/>
    <w:rsid w:val="00B54C4F"/>
    <w:rsid w:val="00B615C6"/>
    <w:rsid w:val="00B6418D"/>
    <w:rsid w:val="00B65611"/>
    <w:rsid w:val="00B661BB"/>
    <w:rsid w:val="00B71810"/>
    <w:rsid w:val="00B73137"/>
    <w:rsid w:val="00B75BE8"/>
    <w:rsid w:val="00B80FF2"/>
    <w:rsid w:val="00B964BB"/>
    <w:rsid w:val="00BA2463"/>
    <w:rsid w:val="00BA7905"/>
    <w:rsid w:val="00BB1650"/>
    <w:rsid w:val="00BB193B"/>
    <w:rsid w:val="00BB4377"/>
    <w:rsid w:val="00BB5091"/>
    <w:rsid w:val="00BB60B3"/>
    <w:rsid w:val="00BC20E5"/>
    <w:rsid w:val="00BC269E"/>
    <w:rsid w:val="00BC32A4"/>
    <w:rsid w:val="00BC3E69"/>
    <w:rsid w:val="00BC41F8"/>
    <w:rsid w:val="00BD4FC7"/>
    <w:rsid w:val="00BE1FE5"/>
    <w:rsid w:val="00BE6F00"/>
    <w:rsid w:val="00BF53E1"/>
    <w:rsid w:val="00BF7E65"/>
    <w:rsid w:val="00C00BDC"/>
    <w:rsid w:val="00C039CB"/>
    <w:rsid w:val="00C03AD6"/>
    <w:rsid w:val="00C14518"/>
    <w:rsid w:val="00C162D5"/>
    <w:rsid w:val="00C21CC9"/>
    <w:rsid w:val="00C22B53"/>
    <w:rsid w:val="00C239F7"/>
    <w:rsid w:val="00C24C52"/>
    <w:rsid w:val="00C27610"/>
    <w:rsid w:val="00C27E6A"/>
    <w:rsid w:val="00C33590"/>
    <w:rsid w:val="00C336C6"/>
    <w:rsid w:val="00C3681E"/>
    <w:rsid w:val="00C41077"/>
    <w:rsid w:val="00C41FA1"/>
    <w:rsid w:val="00C43375"/>
    <w:rsid w:val="00C447E9"/>
    <w:rsid w:val="00C5088D"/>
    <w:rsid w:val="00C50974"/>
    <w:rsid w:val="00C50C46"/>
    <w:rsid w:val="00C57A31"/>
    <w:rsid w:val="00C6612F"/>
    <w:rsid w:val="00C72F5C"/>
    <w:rsid w:val="00C73050"/>
    <w:rsid w:val="00C7435E"/>
    <w:rsid w:val="00C77801"/>
    <w:rsid w:val="00C8026C"/>
    <w:rsid w:val="00C808BD"/>
    <w:rsid w:val="00C827D2"/>
    <w:rsid w:val="00C82CD1"/>
    <w:rsid w:val="00C95FD7"/>
    <w:rsid w:val="00C971ED"/>
    <w:rsid w:val="00CA51DC"/>
    <w:rsid w:val="00CA5C5E"/>
    <w:rsid w:val="00CA7C00"/>
    <w:rsid w:val="00CB1157"/>
    <w:rsid w:val="00CB172D"/>
    <w:rsid w:val="00CC01D4"/>
    <w:rsid w:val="00CC1688"/>
    <w:rsid w:val="00CC181A"/>
    <w:rsid w:val="00CC183A"/>
    <w:rsid w:val="00CC51A4"/>
    <w:rsid w:val="00CD1429"/>
    <w:rsid w:val="00CD3F66"/>
    <w:rsid w:val="00CD5540"/>
    <w:rsid w:val="00CD6689"/>
    <w:rsid w:val="00CD6E22"/>
    <w:rsid w:val="00CE00FA"/>
    <w:rsid w:val="00CE3B10"/>
    <w:rsid w:val="00CE50BD"/>
    <w:rsid w:val="00CE5295"/>
    <w:rsid w:val="00CF07BE"/>
    <w:rsid w:val="00CF2C47"/>
    <w:rsid w:val="00CF4314"/>
    <w:rsid w:val="00D00889"/>
    <w:rsid w:val="00D01660"/>
    <w:rsid w:val="00D06A69"/>
    <w:rsid w:val="00D07361"/>
    <w:rsid w:val="00D10D64"/>
    <w:rsid w:val="00D11D47"/>
    <w:rsid w:val="00D12AAA"/>
    <w:rsid w:val="00D23EC0"/>
    <w:rsid w:val="00D24514"/>
    <w:rsid w:val="00D27131"/>
    <w:rsid w:val="00D32AB0"/>
    <w:rsid w:val="00D4262D"/>
    <w:rsid w:val="00D4372F"/>
    <w:rsid w:val="00D46633"/>
    <w:rsid w:val="00D47DFF"/>
    <w:rsid w:val="00D55FFC"/>
    <w:rsid w:val="00D6168B"/>
    <w:rsid w:val="00D61834"/>
    <w:rsid w:val="00D622A6"/>
    <w:rsid w:val="00D63905"/>
    <w:rsid w:val="00D66494"/>
    <w:rsid w:val="00D67A92"/>
    <w:rsid w:val="00D70337"/>
    <w:rsid w:val="00D7339D"/>
    <w:rsid w:val="00D76DEE"/>
    <w:rsid w:val="00D85E6C"/>
    <w:rsid w:val="00D9122A"/>
    <w:rsid w:val="00D93575"/>
    <w:rsid w:val="00D9403D"/>
    <w:rsid w:val="00D94854"/>
    <w:rsid w:val="00D95B48"/>
    <w:rsid w:val="00D95DBC"/>
    <w:rsid w:val="00DA46E4"/>
    <w:rsid w:val="00DA6D56"/>
    <w:rsid w:val="00DB1647"/>
    <w:rsid w:val="00DB24A0"/>
    <w:rsid w:val="00DB4F28"/>
    <w:rsid w:val="00DB4FF0"/>
    <w:rsid w:val="00DC1D5C"/>
    <w:rsid w:val="00DD09C3"/>
    <w:rsid w:val="00DD2EA9"/>
    <w:rsid w:val="00DD5510"/>
    <w:rsid w:val="00DE1BC4"/>
    <w:rsid w:val="00DE2D29"/>
    <w:rsid w:val="00DE6142"/>
    <w:rsid w:val="00DE7A74"/>
    <w:rsid w:val="00DF0A3F"/>
    <w:rsid w:val="00DF4DE1"/>
    <w:rsid w:val="00DF6B99"/>
    <w:rsid w:val="00E019CB"/>
    <w:rsid w:val="00E0543D"/>
    <w:rsid w:val="00E122AC"/>
    <w:rsid w:val="00E129C6"/>
    <w:rsid w:val="00E14FA1"/>
    <w:rsid w:val="00E23B4C"/>
    <w:rsid w:val="00E24674"/>
    <w:rsid w:val="00E274DC"/>
    <w:rsid w:val="00E27CAE"/>
    <w:rsid w:val="00E33056"/>
    <w:rsid w:val="00E335A6"/>
    <w:rsid w:val="00E33B67"/>
    <w:rsid w:val="00E373AD"/>
    <w:rsid w:val="00E40FB0"/>
    <w:rsid w:val="00E47CA2"/>
    <w:rsid w:val="00E506DF"/>
    <w:rsid w:val="00E512A6"/>
    <w:rsid w:val="00E5338B"/>
    <w:rsid w:val="00E571A6"/>
    <w:rsid w:val="00E61475"/>
    <w:rsid w:val="00E62656"/>
    <w:rsid w:val="00E633C7"/>
    <w:rsid w:val="00E7022B"/>
    <w:rsid w:val="00E7353C"/>
    <w:rsid w:val="00E73B69"/>
    <w:rsid w:val="00E76DBC"/>
    <w:rsid w:val="00E80521"/>
    <w:rsid w:val="00E8130D"/>
    <w:rsid w:val="00E83D4E"/>
    <w:rsid w:val="00E842F4"/>
    <w:rsid w:val="00E914BA"/>
    <w:rsid w:val="00E95BED"/>
    <w:rsid w:val="00EA07F9"/>
    <w:rsid w:val="00EA2D5D"/>
    <w:rsid w:val="00EA42A5"/>
    <w:rsid w:val="00EB002F"/>
    <w:rsid w:val="00EB0F48"/>
    <w:rsid w:val="00EB5E37"/>
    <w:rsid w:val="00EB75FE"/>
    <w:rsid w:val="00EB7B0F"/>
    <w:rsid w:val="00EC1DA7"/>
    <w:rsid w:val="00EC3D9E"/>
    <w:rsid w:val="00ED1940"/>
    <w:rsid w:val="00ED1D8D"/>
    <w:rsid w:val="00ED441E"/>
    <w:rsid w:val="00ED526B"/>
    <w:rsid w:val="00ED56D9"/>
    <w:rsid w:val="00EE036B"/>
    <w:rsid w:val="00EE03FD"/>
    <w:rsid w:val="00EE22BE"/>
    <w:rsid w:val="00EE554D"/>
    <w:rsid w:val="00EE7C93"/>
    <w:rsid w:val="00EF43C8"/>
    <w:rsid w:val="00EF4B28"/>
    <w:rsid w:val="00EF7358"/>
    <w:rsid w:val="00F00366"/>
    <w:rsid w:val="00F02DDA"/>
    <w:rsid w:val="00F03326"/>
    <w:rsid w:val="00F03F99"/>
    <w:rsid w:val="00F05264"/>
    <w:rsid w:val="00F058FD"/>
    <w:rsid w:val="00F069D8"/>
    <w:rsid w:val="00F124B8"/>
    <w:rsid w:val="00F16E82"/>
    <w:rsid w:val="00F2132C"/>
    <w:rsid w:val="00F25B37"/>
    <w:rsid w:val="00F324A3"/>
    <w:rsid w:val="00F347A7"/>
    <w:rsid w:val="00F40D3D"/>
    <w:rsid w:val="00F41706"/>
    <w:rsid w:val="00F43D3E"/>
    <w:rsid w:val="00F44179"/>
    <w:rsid w:val="00F4743B"/>
    <w:rsid w:val="00F5125E"/>
    <w:rsid w:val="00F51F1A"/>
    <w:rsid w:val="00F528E1"/>
    <w:rsid w:val="00F5568A"/>
    <w:rsid w:val="00F5674C"/>
    <w:rsid w:val="00F6245D"/>
    <w:rsid w:val="00F64B47"/>
    <w:rsid w:val="00F658F2"/>
    <w:rsid w:val="00F66DA6"/>
    <w:rsid w:val="00F6721B"/>
    <w:rsid w:val="00F70382"/>
    <w:rsid w:val="00F71B42"/>
    <w:rsid w:val="00F74AAB"/>
    <w:rsid w:val="00F75015"/>
    <w:rsid w:val="00F771C1"/>
    <w:rsid w:val="00F839DF"/>
    <w:rsid w:val="00F85C38"/>
    <w:rsid w:val="00F868A3"/>
    <w:rsid w:val="00F90F1E"/>
    <w:rsid w:val="00F91D46"/>
    <w:rsid w:val="00F92F35"/>
    <w:rsid w:val="00F9541F"/>
    <w:rsid w:val="00FA1202"/>
    <w:rsid w:val="00FA40F9"/>
    <w:rsid w:val="00FB07D8"/>
    <w:rsid w:val="00FB1C7C"/>
    <w:rsid w:val="00FB7DA5"/>
    <w:rsid w:val="00FC1191"/>
    <w:rsid w:val="00FC4E03"/>
    <w:rsid w:val="00FC57D2"/>
    <w:rsid w:val="00FC5BE2"/>
    <w:rsid w:val="00FD1C13"/>
    <w:rsid w:val="00FD3697"/>
    <w:rsid w:val="00FE0584"/>
    <w:rsid w:val="00FE1847"/>
    <w:rsid w:val="00FE1C2B"/>
    <w:rsid w:val="00FE2CD7"/>
    <w:rsid w:val="00FE376C"/>
    <w:rsid w:val="00FE3DD9"/>
    <w:rsid w:val="00FE4833"/>
    <w:rsid w:val="00FF2767"/>
    <w:rsid w:val="00FF3207"/>
    <w:rsid w:val="00FF3A1C"/>
    <w:rsid w:val="00FF514A"/>
    <w:rsid w:val="00FF5312"/>
    <w:rsid w:val="00FF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E776B"/>
  <w15:chartTrackingRefBased/>
  <w15:docId w15:val="{5080BCA4-B7D5-457A-9128-1AF19920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87C"/>
    <w:rPr>
      <w:color w:val="0563C1" w:themeColor="hyperlink"/>
      <w:u w:val="single"/>
    </w:rPr>
  </w:style>
  <w:style w:type="character" w:styleId="Emphasis">
    <w:name w:val="Emphasis"/>
    <w:basedOn w:val="DefaultParagraphFont"/>
    <w:uiPriority w:val="20"/>
    <w:qFormat/>
    <w:rsid w:val="009C187C"/>
    <w:rPr>
      <w:i/>
      <w:iCs/>
    </w:rPr>
  </w:style>
  <w:style w:type="paragraph" w:styleId="Header">
    <w:name w:val="header"/>
    <w:basedOn w:val="Normal"/>
    <w:link w:val="HeaderChar"/>
    <w:uiPriority w:val="99"/>
    <w:unhideWhenUsed/>
    <w:rsid w:val="009C1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87C"/>
  </w:style>
  <w:style w:type="paragraph" w:styleId="Footer">
    <w:name w:val="footer"/>
    <w:basedOn w:val="Normal"/>
    <w:link w:val="FooterChar"/>
    <w:uiPriority w:val="99"/>
    <w:unhideWhenUsed/>
    <w:rsid w:val="009C1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87C"/>
  </w:style>
  <w:style w:type="paragraph" w:styleId="NormalWeb">
    <w:name w:val="Normal (Web)"/>
    <w:basedOn w:val="Normal"/>
    <w:uiPriority w:val="99"/>
    <w:unhideWhenUsed/>
    <w:rsid w:val="00512A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732B"/>
    <w:pPr>
      <w:ind w:left="720"/>
      <w:contextualSpacing/>
    </w:pPr>
  </w:style>
  <w:style w:type="character" w:styleId="UnresolvedMention">
    <w:name w:val="Unresolved Mention"/>
    <w:basedOn w:val="DefaultParagraphFont"/>
    <w:uiPriority w:val="99"/>
    <w:semiHidden/>
    <w:unhideWhenUsed/>
    <w:rsid w:val="00055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29027">
      <w:bodyDiv w:val="1"/>
      <w:marLeft w:val="0"/>
      <w:marRight w:val="0"/>
      <w:marTop w:val="0"/>
      <w:marBottom w:val="0"/>
      <w:divBdr>
        <w:top w:val="none" w:sz="0" w:space="0" w:color="auto"/>
        <w:left w:val="none" w:sz="0" w:space="0" w:color="auto"/>
        <w:bottom w:val="none" w:sz="0" w:space="0" w:color="auto"/>
        <w:right w:val="none" w:sz="0" w:space="0" w:color="auto"/>
      </w:divBdr>
    </w:div>
    <w:div w:id="1413503850">
      <w:bodyDiv w:val="1"/>
      <w:marLeft w:val="0"/>
      <w:marRight w:val="0"/>
      <w:marTop w:val="0"/>
      <w:marBottom w:val="0"/>
      <w:divBdr>
        <w:top w:val="none" w:sz="0" w:space="0" w:color="auto"/>
        <w:left w:val="none" w:sz="0" w:space="0" w:color="auto"/>
        <w:bottom w:val="none" w:sz="0" w:space="0" w:color="auto"/>
        <w:right w:val="none" w:sz="0" w:space="0" w:color="auto"/>
      </w:divBdr>
    </w:div>
    <w:div w:id="16560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camden.gov.uk/camden-council-statement-on-the-child-q-revie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effieldshar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instruments-mechanisms/instruments/convention-rights-chil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uroparl.europa.eu/doceo/document/TA-8-2019-0239_EN.html" TargetMode="External"/><Relationship Id="rId4" Type="http://schemas.openxmlformats.org/officeDocument/2006/relationships/settings" Target="settings.xml"/><Relationship Id="rId9" Type="http://schemas.openxmlformats.org/officeDocument/2006/relationships/hyperlink" Target="https://www.aclu.org/news/human-rights/the-uns-george-floyd-resolution-is-a-vital-step-toward-international-accountabilit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A77C-C557-4E20-9693-AE6D815B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2749</Words>
  <Characters>15671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Olaiya</dc:creator>
  <cp:keywords/>
  <dc:description/>
  <cp:lastModifiedBy>Ade Olaiya</cp:lastModifiedBy>
  <cp:revision>2</cp:revision>
  <dcterms:created xsi:type="dcterms:W3CDTF">2022-04-27T13:13:00Z</dcterms:created>
  <dcterms:modified xsi:type="dcterms:W3CDTF">2022-04-27T13:13:00Z</dcterms:modified>
</cp:coreProperties>
</file>