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169" w:rsidRPr="00744169" w:rsidRDefault="00744169" w:rsidP="00744169">
      <w:pPr>
        <w:spacing w:after="150" w:line="240" w:lineRule="auto"/>
        <w:jc w:val="center"/>
        <w:outlineLvl w:val="0"/>
        <w:rPr>
          <w:rFonts w:ascii="&amp;quot" w:eastAsia="Times New Roman" w:hAnsi="&amp;quot" w:cs="Times New Roman"/>
          <w:kern w:val="36"/>
          <w:sz w:val="54"/>
          <w:szCs w:val="54"/>
          <w:lang w:eastAsia="en-GB"/>
        </w:rPr>
      </w:pPr>
      <w:bookmarkStart w:id="0" w:name="_GoBack"/>
      <w:bookmarkEnd w:id="0"/>
      <w:r w:rsidRPr="00744169">
        <w:rPr>
          <w:rFonts w:ascii="&amp;quot" w:eastAsia="Times New Roman" w:hAnsi="&amp;quot" w:cs="Times New Roman"/>
          <w:kern w:val="36"/>
          <w:sz w:val="54"/>
          <w:szCs w:val="54"/>
          <w:lang w:eastAsia="en-GB"/>
        </w:rPr>
        <w:t>School-to-work transitions during coronavirus: Lessons from the 2008 Global Financial Crisis</w:t>
      </w:r>
    </w:p>
    <w:p w:rsidR="000B3036" w:rsidRDefault="00B03DDC" w:rsidP="00744169">
      <w:pPr>
        <w:spacing w:after="0" w:line="480" w:lineRule="atLeast"/>
        <w:rPr>
          <w:rFonts w:ascii="Times New Roman" w:eastAsia="Times New Roman" w:hAnsi="Times New Roman" w:cs="Times New Roman"/>
          <w:color w:val="999999"/>
          <w:sz w:val="21"/>
          <w:szCs w:val="21"/>
          <w:lang w:eastAsia="en-GB"/>
        </w:rPr>
      </w:pPr>
      <w:hyperlink r:id="rId5" w:history="1">
        <w:r w:rsidR="00744169" w:rsidRPr="00744169">
          <w:rPr>
            <w:rFonts w:ascii="Times New Roman" w:eastAsia="Times New Roman" w:hAnsi="Times New Roman" w:cs="Times New Roman"/>
            <w:color w:val="3D69A6"/>
            <w:sz w:val="21"/>
            <w:szCs w:val="21"/>
            <w:u w:val="single"/>
            <w:lang w:eastAsia="en-GB"/>
          </w:rPr>
          <w:t>OECD Education and Skills</w:t>
        </w:r>
      </w:hyperlink>
    </w:p>
    <w:p w:rsidR="00744169" w:rsidRDefault="00B03DDC" w:rsidP="00744169">
      <w:pPr>
        <w:spacing w:after="0" w:line="480" w:lineRule="atLeast"/>
        <w:rPr>
          <w:rFonts w:ascii="Times New Roman" w:eastAsia="Times New Roman" w:hAnsi="Times New Roman" w:cs="Times New Roman"/>
          <w:color w:val="999999"/>
          <w:sz w:val="21"/>
          <w:szCs w:val="21"/>
          <w:lang w:eastAsia="en-GB"/>
        </w:rPr>
      </w:pPr>
      <w:hyperlink r:id="rId6" w:history="1">
        <w:r w:rsidR="00744169" w:rsidRPr="00744169">
          <w:rPr>
            <w:rFonts w:ascii="Times New Roman" w:eastAsia="Times New Roman" w:hAnsi="Times New Roman" w:cs="Times New Roman"/>
            <w:color w:val="3D69A6"/>
            <w:sz w:val="21"/>
            <w:szCs w:val="21"/>
            <w:u w:val="single"/>
            <w:lang w:eastAsia="en-GB"/>
          </w:rPr>
          <w:t>May 19, 2020</w:t>
        </w:r>
      </w:hyperlink>
      <w:r w:rsidR="00744169" w:rsidRPr="00744169">
        <w:rPr>
          <w:rFonts w:ascii="Times New Roman" w:eastAsia="Times New Roman" w:hAnsi="Times New Roman" w:cs="Times New Roman"/>
          <w:color w:val="999999"/>
          <w:sz w:val="21"/>
          <w:szCs w:val="21"/>
          <w:lang w:eastAsia="en-GB"/>
        </w:rPr>
        <w:t xml:space="preserve"> </w:t>
      </w:r>
    </w:p>
    <w:p w:rsidR="00744169" w:rsidRPr="00744169" w:rsidRDefault="00B03DDC" w:rsidP="00744169">
      <w:pPr>
        <w:spacing w:after="0" w:line="480" w:lineRule="atLeast"/>
        <w:rPr>
          <w:rFonts w:ascii="Times New Roman" w:eastAsia="Times New Roman" w:hAnsi="Times New Roman" w:cs="Times New Roman"/>
          <w:color w:val="999999"/>
          <w:sz w:val="21"/>
          <w:szCs w:val="21"/>
          <w:lang w:eastAsia="en-GB"/>
        </w:rPr>
      </w:pPr>
      <w:hyperlink r:id="rId7" w:history="1">
        <w:r w:rsidR="00744169" w:rsidRPr="00775659">
          <w:rPr>
            <w:rStyle w:val="Hyperlink"/>
            <w:rFonts w:ascii="Times New Roman" w:eastAsia="Times New Roman" w:hAnsi="Times New Roman" w:cs="Times New Roman"/>
            <w:sz w:val="21"/>
            <w:szCs w:val="21"/>
            <w:lang w:eastAsia="en-GB"/>
          </w:rPr>
          <w:t>https://oecdedutoday.com/school-work-during-coronavirus-2008-global-financial-crisis/</w:t>
        </w:r>
      </w:hyperlink>
      <w:r w:rsidR="00744169">
        <w:rPr>
          <w:rFonts w:ascii="Times New Roman" w:eastAsia="Times New Roman" w:hAnsi="Times New Roman" w:cs="Times New Roman"/>
          <w:color w:val="999999"/>
          <w:sz w:val="21"/>
          <w:szCs w:val="21"/>
          <w:lang w:eastAsia="en-GB"/>
        </w:rPr>
        <w:t xml:space="preserve">  </w:t>
      </w:r>
    </w:p>
    <w:p w:rsidR="00744169" w:rsidRDefault="00744169" w:rsidP="00744169">
      <w:pPr>
        <w:spacing w:line="240" w:lineRule="auto"/>
        <w:rPr>
          <w:rFonts w:ascii="&amp;quot" w:eastAsia="Times New Roman" w:hAnsi="&amp;quot" w:cs="Times New Roman"/>
          <w:color w:val="555555"/>
          <w:sz w:val="26"/>
          <w:szCs w:val="26"/>
          <w:lang w:eastAsia="en-GB"/>
        </w:rPr>
      </w:pPr>
    </w:p>
    <w:p w:rsidR="00744169" w:rsidRPr="00744169" w:rsidRDefault="00744169" w:rsidP="00744169">
      <w:pPr>
        <w:spacing w:line="240" w:lineRule="auto"/>
        <w:rPr>
          <w:rFonts w:ascii="&amp;quot" w:eastAsia="Times New Roman" w:hAnsi="&amp;quot" w:cs="Times New Roman"/>
          <w:color w:val="555555"/>
          <w:sz w:val="26"/>
          <w:szCs w:val="26"/>
          <w:lang w:eastAsia="en-GB"/>
        </w:rPr>
      </w:pPr>
      <w:r w:rsidRPr="00744169">
        <w:rPr>
          <w:rFonts w:ascii="&amp;quot" w:eastAsia="Times New Roman" w:hAnsi="&amp;quot" w:cs="Times New Roman"/>
          <w:noProof/>
          <w:color w:val="555555"/>
          <w:sz w:val="26"/>
          <w:szCs w:val="26"/>
          <w:lang w:eastAsia="en-GB"/>
        </w:rPr>
        <w:drawing>
          <wp:inline distT="0" distB="0" distL="0" distR="0">
            <wp:extent cx="5731510" cy="3223895"/>
            <wp:effectExtent l="0" t="0" r="2540" b="0"/>
            <wp:docPr id="2" name="Picture 2" descr="Person with head in hands in front of computer searching for jobs. Crumpled piece of paper with the word &quot;application&quot; next to th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 with head in hands in front of computer searching for jobs. Crumpled piece of paper with the word &quot;application&quot; next to the pers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rsidR="00744169" w:rsidRPr="00744169" w:rsidRDefault="00744169" w:rsidP="00744169">
      <w:pPr>
        <w:spacing w:after="300" w:line="240" w:lineRule="auto"/>
        <w:jc w:val="both"/>
        <w:rPr>
          <w:rFonts w:ascii="&amp;quot" w:eastAsia="Times New Roman" w:hAnsi="&amp;quot" w:cs="Times New Roman"/>
          <w:color w:val="555555"/>
          <w:sz w:val="26"/>
          <w:szCs w:val="26"/>
          <w:lang w:eastAsia="en-GB"/>
        </w:rPr>
      </w:pPr>
      <w:r w:rsidRPr="00744169">
        <w:rPr>
          <w:rFonts w:ascii="&amp;quot" w:eastAsia="Times New Roman" w:hAnsi="&amp;quot" w:cs="Times New Roman"/>
          <w:b/>
          <w:bCs/>
          <w:color w:val="555555"/>
          <w:sz w:val="26"/>
          <w:szCs w:val="26"/>
          <w:lang w:eastAsia="en-GB"/>
        </w:rPr>
        <w:t>By Ingrid Schoon</w:t>
      </w:r>
    </w:p>
    <w:p w:rsidR="00744169" w:rsidRPr="00744169" w:rsidRDefault="00744169" w:rsidP="00744169">
      <w:pPr>
        <w:spacing w:after="300" w:line="240" w:lineRule="auto"/>
        <w:jc w:val="both"/>
        <w:rPr>
          <w:rFonts w:ascii="&amp;quot" w:eastAsia="Times New Roman" w:hAnsi="&amp;quot" w:cs="Times New Roman"/>
          <w:color w:val="555555"/>
          <w:sz w:val="18"/>
          <w:szCs w:val="18"/>
          <w:lang w:eastAsia="en-GB"/>
        </w:rPr>
      </w:pPr>
      <w:r w:rsidRPr="00744169">
        <w:rPr>
          <w:rFonts w:ascii="&amp;quot" w:eastAsia="Times New Roman" w:hAnsi="&amp;quot" w:cs="Times New Roman"/>
          <w:color w:val="555555"/>
          <w:sz w:val="18"/>
          <w:szCs w:val="18"/>
          <w:lang w:eastAsia="en-GB"/>
        </w:rPr>
        <w:t>Professor, University College London Institute of Education</w:t>
      </w:r>
    </w:p>
    <w:p w:rsidR="00744169" w:rsidRPr="00744169" w:rsidRDefault="00744169" w:rsidP="00744169">
      <w:pPr>
        <w:spacing w:after="300" w:line="240" w:lineRule="auto"/>
        <w:jc w:val="both"/>
        <w:rPr>
          <w:rFonts w:ascii="&amp;quot" w:eastAsia="Times New Roman" w:hAnsi="&amp;quot" w:cs="Times New Roman"/>
          <w:color w:val="555555"/>
          <w:sz w:val="26"/>
          <w:szCs w:val="26"/>
          <w:lang w:eastAsia="en-GB"/>
        </w:rPr>
      </w:pPr>
      <w:r w:rsidRPr="00744169">
        <w:rPr>
          <w:rFonts w:ascii="&amp;quot" w:eastAsia="Times New Roman" w:hAnsi="&amp;quot" w:cs="Times New Roman"/>
          <w:b/>
          <w:bCs/>
          <w:color w:val="555555"/>
          <w:sz w:val="26"/>
          <w:szCs w:val="26"/>
          <w:lang w:eastAsia="en-GB"/>
        </w:rPr>
        <w:t>and Anthony Mann</w:t>
      </w:r>
    </w:p>
    <w:p w:rsidR="00744169" w:rsidRPr="00744169" w:rsidRDefault="00744169" w:rsidP="00744169">
      <w:pPr>
        <w:spacing w:after="300" w:line="240" w:lineRule="auto"/>
        <w:jc w:val="both"/>
        <w:rPr>
          <w:rFonts w:ascii="&amp;quot" w:eastAsia="Times New Roman" w:hAnsi="&amp;quot" w:cs="Times New Roman"/>
          <w:color w:val="555555"/>
          <w:sz w:val="18"/>
          <w:szCs w:val="18"/>
          <w:lang w:eastAsia="en-GB"/>
        </w:rPr>
      </w:pPr>
      <w:r w:rsidRPr="00744169">
        <w:rPr>
          <w:rFonts w:ascii="&amp;quot" w:eastAsia="Times New Roman" w:hAnsi="&amp;quot" w:cs="Times New Roman"/>
          <w:color w:val="555555"/>
          <w:sz w:val="18"/>
          <w:szCs w:val="18"/>
          <w:lang w:eastAsia="en-GB"/>
        </w:rPr>
        <w:t>Senior Analyst, OECD Directorate for Education and Skills</w:t>
      </w:r>
    </w:p>
    <w:p w:rsidR="00744169" w:rsidRPr="00744169" w:rsidRDefault="00744169" w:rsidP="00744169">
      <w:pPr>
        <w:spacing w:after="300" w:line="240" w:lineRule="auto"/>
        <w:jc w:val="both"/>
        <w:rPr>
          <w:rFonts w:ascii="&amp;quot" w:eastAsia="Times New Roman" w:hAnsi="&amp;quot" w:cs="Times New Roman"/>
          <w:color w:val="555555"/>
          <w:sz w:val="26"/>
          <w:szCs w:val="26"/>
          <w:lang w:eastAsia="en-GB"/>
        </w:rPr>
      </w:pPr>
      <w:r w:rsidRPr="00744169">
        <w:rPr>
          <w:rFonts w:ascii="&amp;quot" w:eastAsia="Times New Roman" w:hAnsi="&amp;quot" w:cs="Times New Roman"/>
          <w:color w:val="555555"/>
          <w:sz w:val="26"/>
          <w:szCs w:val="26"/>
          <w:lang w:eastAsia="en-GB"/>
        </w:rPr>
        <w:t>In this uncertain world, there is one thing that few economists doubt: the coronavirus (COVID-19) pandemic will have a serious impact on the employment opportunities of young people. Even before the pandemic struck, youth faced a labour market characterised by temporary and precarious employment, commonly experiencing unemployment rates up to three times higher than adults.</w:t>
      </w:r>
    </w:p>
    <w:p w:rsidR="00744169" w:rsidRPr="00744169" w:rsidRDefault="00744169" w:rsidP="00744169">
      <w:pPr>
        <w:spacing w:after="300" w:line="240" w:lineRule="auto"/>
        <w:jc w:val="both"/>
        <w:rPr>
          <w:rFonts w:ascii="&amp;quot" w:eastAsia="Times New Roman" w:hAnsi="&amp;quot" w:cs="Times New Roman"/>
          <w:color w:val="555555"/>
          <w:sz w:val="26"/>
          <w:szCs w:val="26"/>
          <w:lang w:eastAsia="en-GB"/>
        </w:rPr>
      </w:pPr>
      <w:r w:rsidRPr="00744169">
        <w:rPr>
          <w:rFonts w:ascii="&amp;quot" w:eastAsia="Times New Roman" w:hAnsi="&amp;quot" w:cs="Times New Roman"/>
          <w:color w:val="555555"/>
          <w:sz w:val="26"/>
          <w:szCs w:val="26"/>
          <w:lang w:eastAsia="en-GB"/>
        </w:rPr>
        <w:t xml:space="preserve">In the months and years ahead, the economic prospects of the young can be expected to become still more difficult – as they did in the aftermath of the global </w:t>
      </w:r>
      <w:r w:rsidRPr="00744169">
        <w:rPr>
          <w:rFonts w:ascii="&amp;quot" w:eastAsia="Times New Roman" w:hAnsi="&amp;quot" w:cs="Times New Roman"/>
          <w:color w:val="555555"/>
          <w:sz w:val="26"/>
          <w:szCs w:val="26"/>
          <w:lang w:eastAsia="en-GB"/>
        </w:rPr>
        <w:lastRenderedPageBreak/>
        <w:t>financial collapse of 2008. Analysis of that recession provides important insight into why youth are so vulnerable, but also how some countries were able to buffer the young against the worst consequences of a global economic downturn. By looking back, important lessons emerge for policy makers grappling with challenges lying ahead.</w:t>
      </w:r>
    </w:p>
    <w:p w:rsidR="00744169" w:rsidRPr="00744169" w:rsidRDefault="00744169" w:rsidP="00744169">
      <w:pPr>
        <w:spacing w:after="120" w:line="240" w:lineRule="auto"/>
        <w:jc w:val="both"/>
        <w:outlineLvl w:val="2"/>
        <w:rPr>
          <w:rFonts w:ascii="&amp;quot" w:eastAsia="Times New Roman" w:hAnsi="&amp;quot" w:cs="Times New Roman"/>
          <w:color w:val="555555"/>
          <w:sz w:val="36"/>
          <w:szCs w:val="36"/>
          <w:lang w:eastAsia="en-GB"/>
        </w:rPr>
      </w:pPr>
      <w:r w:rsidRPr="00744169">
        <w:rPr>
          <w:rFonts w:ascii="&amp;quot" w:eastAsia="Times New Roman" w:hAnsi="&amp;quot" w:cs="Times New Roman"/>
          <w:color w:val="555555"/>
          <w:sz w:val="36"/>
          <w:szCs w:val="36"/>
          <w:lang w:eastAsia="en-GB"/>
        </w:rPr>
        <w:t>Why are young people so vulnerable during economic downturns?</w:t>
      </w:r>
    </w:p>
    <w:p w:rsidR="00744169" w:rsidRPr="00744169" w:rsidRDefault="00744169" w:rsidP="00744169">
      <w:pPr>
        <w:spacing w:after="300" w:line="240" w:lineRule="auto"/>
        <w:jc w:val="both"/>
        <w:rPr>
          <w:rFonts w:ascii="&amp;quot" w:eastAsia="Times New Roman" w:hAnsi="&amp;quot" w:cs="Times New Roman"/>
          <w:color w:val="555555"/>
          <w:sz w:val="26"/>
          <w:szCs w:val="26"/>
          <w:lang w:eastAsia="en-GB"/>
        </w:rPr>
      </w:pPr>
      <w:r w:rsidRPr="00744169">
        <w:rPr>
          <w:rFonts w:ascii="&amp;quot" w:eastAsia="Times New Roman" w:hAnsi="&amp;quot" w:cs="Times New Roman"/>
          <w:color w:val="555555"/>
          <w:sz w:val="26"/>
          <w:szCs w:val="26"/>
          <w:lang w:eastAsia="en-GB"/>
        </w:rPr>
        <w:t>Employers commonly respond to falling demand by pausing recruitment, decreasing involvement in training programmes such as apprenticeships and reducing staffing through a last-in/first-out policy. The jobs that many young people do are at particularly high risk of automation, and often involve contracts without employment insurance, health benefits or paid leave. Precarious employment conditions and early experiences of unemployment bring with them long-term scarring effects regarding future job prospects, health and well-being.</w:t>
      </w:r>
    </w:p>
    <w:p w:rsidR="00744169" w:rsidRPr="00744169" w:rsidRDefault="00744169" w:rsidP="00744169">
      <w:pPr>
        <w:spacing w:after="300" w:line="240" w:lineRule="auto"/>
        <w:jc w:val="both"/>
        <w:rPr>
          <w:rFonts w:ascii="&amp;quot" w:eastAsia="Times New Roman" w:hAnsi="&amp;quot" w:cs="Times New Roman"/>
          <w:color w:val="555555"/>
          <w:sz w:val="26"/>
          <w:szCs w:val="26"/>
          <w:lang w:eastAsia="en-GB"/>
        </w:rPr>
      </w:pPr>
      <w:r w:rsidRPr="00744169">
        <w:rPr>
          <w:rFonts w:ascii="&amp;quot" w:eastAsia="Times New Roman" w:hAnsi="&amp;quot" w:cs="Times New Roman"/>
          <w:color w:val="555555"/>
          <w:sz w:val="26"/>
          <w:szCs w:val="26"/>
          <w:lang w:eastAsia="en-GB"/>
        </w:rPr>
        <w:t xml:space="preserve">As society seeks to rebuild after the pandemic, it is essential to </w:t>
      </w:r>
      <w:proofErr w:type="gramStart"/>
      <w:r w:rsidRPr="00744169">
        <w:rPr>
          <w:rFonts w:ascii="&amp;quot" w:eastAsia="Times New Roman" w:hAnsi="&amp;quot" w:cs="Times New Roman"/>
          <w:color w:val="555555"/>
          <w:sz w:val="26"/>
          <w:szCs w:val="26"/>
          <w:lang w:eastAsia="en-GB"/>
        </w:rPr>
        <w:t>take into account</w:t>
      </w:r>
      <w:proofErr w:type="gramEnd"/>
      <w:r w:rsidRPr="00744169">
        <w:rPr>
          <w:rFonts w:ascii="&amp;quot" w:eastAsia="Times New Roman" w:hAnsi="&amp;quot" w:cs="Times New Roman"/>
          <w:color w:val="555555"/>
          <w:sz w:val="26"/>
          <w:szCs w:val="26"/>
          <w:lang w:eastAsia="en-GB"/>
        </w:rPr>
        <w:t xml:space="preserve"> the pressing needs of young people to find viable employment and training. Urgent action is required for governments to support young people and future generations as they make the transition from education and training into sustained employment.</w:t>
      </w:r>
    </w:p>
    <w:p w:rsidR="00744169" w:rsidRPr="00744169" w:rsidRDefault="00744169" w:rsidP="00744169">
      <w:pPr>
        <w:spacing w:after="120" w:line="240" w:lineRule="auto"/>
        <w:jc w:val="both"/>
        <w:outlineLvl w:val="2"/>
        <w:rPr>
          <w:rFonts w:ascii="&amp;quot" w:eastAsia="Times New Roman" w:hAnsi="&amp;quot" w:cs="Times New Roman"/>
          <w:color w:val="555555"/>
          <w:sz w:val="36"/>
          <w:szCs w:val="36"/>
          <w:lang w:eastAsia="en-GB"/>
        </w:rPr>
      </w:pPr>
      <w:r w:rsidRPr="00744169">
        <w:rPr>
          <w:rFonts w:ascii="&amp;quot" w:eastAsia="Times New Roman" w:hAnsi="&amp;quot" w:cs="Times New Roman"/>
          <w:color w:val="555555"/>
          <w:sz w:val="36"/>
          <w:szCs w:val="36"/>
          <w:lang w:eastAsia="en-GB"/>
        </w:rPr>
        <w:t>What can be done?</w:t>
      </w:r>
    </w:p>
    <w:p w:rsidR="00744169" w:rsidRPr="00744169" w:rsidRDefault="00744169" w:rsidP="00744169">
      <w:pPr>
        <w:spacing w:after="300" w:line="240" w:lineRule="auto"/>
        <w:jc w:val="both"/>
        <w:rPr>
          <w:rFonts w:ascii="&amp;quot" w:eastAsia="Times New Roman" w:hAnsi="&amp;quot" w:cs="Times New Roman"/>
          <w:color w:val="555555"/>
          <w:sz w:val="26"/>
          <w:szCs w:val="26"/>
          <w:lang w:eastAsia="en-GB"/>
        </w:rPr>
      </w:pPr>
      <w:r w:rsidRPr="00744169">
        <w:rPr>
          <w:rFonts w:ascii="&amp;quot" w:eastAsia="Times New Roman" w:hAnsi="&amp;quot" w:cs="Times New Roman"/>
          <w:color w:val="555555"/>
          <w:sz w:val="26"/>
          <w:szCs w:val="26"/>
          <w:lang w:eastAsia="en-GB"/>
        </w:rPr>
        <w:t>Since the 2008 recession, significant work has been undertaken by researchers exploring what governments and education systems can do to protect young people.</w:t>
      </w:r>
    </w:p>
    <w:p w:rsidR="00744169" w:rsidRPr="00744169" w:rsidRDefault="00744169" w:rsidP="00744169">
      <w:pPr>
        <w:spacing w:after="300" w:line="240" w:lineRule="auto"/>
        <w:jc w:val="both"/>
        <w:rPr>
          <w:rFonts w:ascii="&amp;quot" w:eastAsia="Times New Roman" w:hAnsi="&amp;quot" w:cs="Times New Roman"/>
          <w:color w:val="555555"/>
          <w:sz w:val="26"/>
          <w:szCs w:val="26"/>
          <w:lang w:eastAsia="en-GB"/>
        </w:rPr>
      </w:pPr>
      <w:r w:rsidRPr="00744169">
        <w:rPr>
          <w:rFonts w:ascii="&amp;quot" w:eastAsia="Times New Roman" w:hAnsi="&amp;quot" w:cs="Times New Roman"/>
          <w:color w:val="555555"/>
          <w:sz w:val="26"/>
          <w:szCs w:val="26"/>
          <w:lang w:eastAsia="en-GB"/>
        </w:rPr>
        <w:t>The evidence points to three critical measures:</w:t>
      </w:r>
    </w:p>
    <w:p w:rsidR="00744169" w:rsidRPr="00744169" w:rsidRDefault="00744169" w:rsidP="00744169">
      <w:pPr>
        <w:spacing w:after="300" w:line="240" w:lineRule="auto"/>
        <w:jc w:val="both"/>
        <w:rPr>
          <w:rFonts w:ascii="&amp;quot" w:eastAsia="Times New Roman" w:hAnsi="&amp;quot" w:cs="Times New Roman"/>
          <w:color w:val="555555"/>
          <w:sz w:val="26"/>
          <w:szCs w:val="26"/>
          <w:lang w:eastAsia="en-GB"/>
        </w:rPr>
      </w:pPr>
      <w:r w:rsidRPr="00744169">
        <w:rPr>
          <w:rFonts w:ascii="&amp;quot" w:eastAsia="Times New Roman" w:hAnsi="&amp;quot" w:cs="Times New Roman"/>
          <w:b/>
          <w:bCs/>
          <w:color w:val="555555"/>
          <w:sz w:val="26"/>
          <w:szCs w:val="26"/>
          <w:lang w:eastAsia="en-GB"/>
        </w:rPr>
        <w:t>1. Creating strong connections between education institutions and employers</w:t>
      </w:r>
    </w:p>
    <w:p w:rsidR="00744169" w:rsidRPr="00744169" w:rsidRDefault="00744169" w:rsidP="00744169">
      <w:pPr>
        <w:spacing w:after="300" w:line="240" w:lineRule="auto"/>
        <w:jc w:val="both"/>
        <w:rPr>
          <w:rFonts w:ascii="&amp;quot" w:eastAsia="Times New Roman" w:hAnsi="&amp;quot" w:cs="Times New Roman"/>
          <w:color w:val="555555"/>
          <w:sz w:val="26"/>
          <w:szCs w:val="26"/>
          <w:lang w:eastAsia="en-GB"/>
        </w:rPr>
      </w:pPr>
      <w:r w:rsidRPr="00744169">
        <w:rPr>
          <w:rFonts w:ascii="&amp;quot" w:eastAsia="Times New Roman" w:hAnsi="&amp;quot" w:cs="Times New Roman"/>
          <w:color w:val="555555"/>
          <w:sz w:val="26"/>
          <w:szCs w:val="26"/>
          <w:lang w:eastAsia="en-GB"/>
        </w:rPr>
        <w:t xml:space="preserve">Strong bridges between education systems and labour markets play an important role in buffering the negative effects of economic downturn on young people’s employment prospects. </w:t>
      </w:r>
      <w:proofErr w:type="gramStart"/>
      <w:r w:rsidRPr="00744169">
        <w:rPr>
          <w:rFonts w:ascii="&amp;quot" w:eastAsia="Times New Roman" w:hAnsi="&amp;quot" w:cs="Times New Roman"/>
          <w:color w:val="555555"/>
          <w:sz w:val="26"/>
          <w:szCs w:val="26"/>
          <w:lang w:eastAsia="en-GB"/>
        </w:rPr>
        <w:t>In particular, high</w:t>
      </w:r>
      <w:proofErr w:type="gramEnd"/>
      <w:r w:rsidRPr="00744169">
        <w:rPr>
          <w:rFonts w:ascii="&amp;quot" w:eastAsia="Times New Roman" w:hAnsi="&amp;quot" w:cs="Times New Roman"/>
          <w:color w:val="555555"/>
          <w:sz w:val="26"/>
          <w:szCs w:val="26"/>
          <w:lang w:eastAsia="en-GB"/>
        </w:rPr>
        <w:t xml:space="preserve"> quality, high volume vocational education training (VET) has been shown to be effective in facilitating smooth transitions into the labour market and entry into viable careers, including at times of crisis.</w:t>
      </w:r>
    </w:p>
    <w:p w:rsidR="00744169" w:rsidRPr="00744169" w:rsidRDefault="00744169" w:rsidP="00744169">
      <w:pPr>
        <w:spacing w:after="300" w:line="240" w:lineRule="auto"/>
        <w:jc w:val="both"/>
        <w:rPr>
          <w:rFonts w:ascii="&amp;quot" w:eastAsia="Times New Roman" w:hAnsi="&amp;quot" w:cs="Times New Roman"/>
          <w:color w:val="555555"/>
          <w:sz w:val="26"/>
          <w:szCs w:val="26"/>
          <w:lang w:eastAsia="en-GB"/>
        </w:rPr>
      </w:pPr>
      <w:r w:rsidRPr="00744169">
        <w:rPr>
          <w:rFonts w:ascii="&amp;quot" w:eastAsia="Times New Roman" w:hAnsi="&amp;quot" w:cs="Times New Roman"/>
          <w:color w:val="555555"/>
          <w:sz w:val="26"/>
          <w:szCs w:val="26"/>
          <w:lang w:eastAsia="en-GB"/>
        </w:rPr>
        <w:t xml:space="preserve">This was the case for example, in German-speaking countries (highlighted in the chart below) following the 2008 recession.  In such countries, strong social partnerships help to ensure that the costs to employers and apprentices of apprenticeship programmes are balanced by the benefits they receive. Where the </w:t>
      </w:r>
      <w:r w:rsidRPr="00744169">
        <w:rPr>
          <w:rFonts w:ascii="&amp;quot" w:eastAsia="Times New Roman" w:hAnsi="&amp;quot" w:cs="Times New Roman"/>
          <w:color w:val="555555"/>
          <w:sz w:val="26"/>
          <w:szCs w:val="26"/>
          <w:lang w:eastAsia="en-GB"/>
        </w:rPr>
        <w:lastRenderedPageBreak/>
        <w:t>provision of apprenticeships is in the employer’s interest, there is strong likelihood that young people will move into permanent work afterwards. Artificial incentives such as subsidies for employers can distort patterns of labour market demand, engaging young people on programmes with poor long-term prospects.</w:t>
      </w:r>
    </w:p>
    <w:p w:rsidR="00744169" w:rsidRPr="00744169" w:rsidRDefault="00744169" w:rsidP="00744169">
      <w:pPr>
        <w:spacing w:line="240" w:lineRule="auto"/>
        <w:jc w:val="both"/>
        <w:rPr>
          <w:rFonts w:ascii="&amp;quot" w:eastAsia="Times New Roman" w:hAnsi="&amp;quot" w:cs="Times New Roman"/>
          <w:color w:val="555555"/>
          <w:sz w:val="26"/>
          <w:szCs w:val="26"/>
          <w:lang w:eastAsia="en-GB"/>
        </w:rPr>
      </w:pPr>
      <w:r w:rsidRPr="00744169">
        <w:rPr>
          <w:rFonts w:ascii="&amp;quot" w:eastAsia="Times New Roman" w:hAnsi="&amp;quot" w:cs="Times New Roman"/>
          <w:noProof/>
          <w:color w:val="555555"/>
          <w:sz w:val="26"/>
          <w:szCs w:val="26"/>
          <w:lang w:eastAsia="en-GB"/>
        </w:rPr>
        <w:drawing>
          <wp:inline distT="0" distB="0" distL="0" distR="0">
            <wp:extent cx="5731510" cy="3133090"/>
            <wp:effectExtent l="0" t="0" r="2540" b="0"/>
            <wp:docPr id="1" name="Picture 1" descr="Graph showing youth unemployment rate in OECD countries in 2007 and in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 showing youth unemployment rate in OECD countries in 2007 and in 20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133090"/>
                    </a:xfrm>
                    <a:prstGeom prst="rect">
                      <a:avLst/>
                    </a:prstGeom>
                    <a:noFill/>
                    <a:ln>
                      <a:noFill/>
                    </a:ln>
                  </pic:spPr>
                </pic:pic>
              </a:graphicData>
            </a:graphic>
          </wp:inline>
        </w:drawing>
      </w:r>
      <w:r w:rsidRPr="00744169">
        <w:rPr>
          <w:rFonts w:ascii="&amp;quot" w:eastAsia="Times New Roman" w:hAnsi="&amp;quot" w:cs="Times New Roman"/>
          <w:color w:val="555555"/>
          <w:sz w:val="26"/>
          <w:szCs w:val="26"/>
          <w:lang w:eastAsia="en-GB"/>
        </w:rPr>
        <w:t xml:space="preserve">Source: </w:t>
      </w:r>
      <w:proofErr w:type="spellStart"/>
      <w:r w:rsidRPr="00744169">
        <w:rPr>
          <w:rFonts w:ascii="&amp;quot" w:eastAsia="Times New Roman" w:hAnsi="&amp;quot" w:cs="Times New Roman"/>
          <w:color w:val="555555"/>
          <w:sz w:val="26"/>
          <w:szCs w:val="26"/>
          <w:lang w:eastAsia="en-GB"/>
        </w:rPr>
        <w:t>OECD.Stat</w:t>
      </w:r>
      <w:proofErr w:type="spellEnd"/>
    </w:p>
    <w:p w:rsidR="00744169" w:rsidRPr="00744169" w:rsidRDefault="00744169" w:rsidP="00744169">
      <w:pPr>
        <w:spacing w:after="300" w:line="240" w:lineRule="auto"/>
        <w:jc w:val="both"/>
        <w:rPr>
          <w:rFonts w:ascii="&amp;quot" w:eastAsia="Times New Roman" w:hAnsi="&amp;quot" w:cs="Times New Roman"/>
          <w:color w:val="555555"/>
          <w:sz w:val="26"/>
          <w:szCs w:val="26"/>
          <w:lang w:eastAsia="en-GB"/>
        </w:rPr>
      </w:pPr>
      <w:r w:rsidRPr="00744169">
        <w:rPr>
          <w:rFonts w:ascii="&amp;quot" w:eastAsia="Times New Roman" w:hAnsi="&amp;quot" w:cs="Times New Roman"/>
          <w:color w:val="555555"/>
          <w:sz w:val="26"/>
          <w:szCs w:val="26"/>
          <w:lang w:eastAsia="en-GB"/>
        </w:rPr>
        <w:t>Government interventions are most valuable if they focus on the quality of apprenticeship provision, the duration, pay and support available to ratchet up the productivity of apprentices. Especially attractive are degree apprenticeships that are developed by employers, universities and professional bodies, and attract high calibre school leavers. More generally, programmes rich in work-based learning give young people the experience, contacts and confidence they need to succeed in tight labour markets.</w:t>
      </w:r>
    </w:p>
    <w:p w:rsidR="00744169" w:rsidRPr="00744169" w:rsidRDefault="00744169" w:rsidP="00744169">
      <w:pPr>
        <w:spacing w:after="300" w:line="240" w:lineRule="auto"/>
        <w:jc w:val="both"/>
        <w:rPr>
          <w:rFonts w:ascii="&amp;quot" w:eastAsia="Times New Roman" w:hAnsi="&amp;quot" w:cs="Times New Roman"/>
          <w:color w:val="555555"/>
          <w:sz w:val="26"/>
          <w:szCs w:val="26"/>
          <w:lang w:eastAsia="en-GB"/>
        </w:rPr>
      </w:pPr>
      <w:r w:rsidRPr="00744169">
        <w:rPr>
          <w:rFonts w:ascii="&amp;quot" w:eastAsia="Times New Roman" w:hAnsi="&amp;quot" w:cs="Times New Roman"/>
          <w:color w:val="555555"/>
          <w:sz w:val="26"/>
          <w:szCs w:val="26"/>
          <w:lang w:eastAsia="en-GB"/>
        </w:rPr>
        <w:t>Post-coronavirus, education systems will have to overcome the likely challenges in engaging employers to deliver work-based learning in a world defined by social distancing.  It will be essential to overcome barriers to ensure that young people gain authentic experiences of work as they develop the knowledge and skills demanded by the labour market. </w:t>
      </w:r>
    </w:p>
    <w:p w:rsidR="00744169" w:rsidRPr="00744169" w:rsidRDefault="00744169" w:rsidP="00744169">
      <w:pPr>
        <w:spacing w:after="300" w:line="240" w:lineRule="auto"/>
        <w:jc w:val="both"/>
        <w:rPr>
          <w:rFonts w:ascii="&amp;quot" w:eastAsia="Times New Roman" w:hAnsi="&amp;quot" w:cs="Times New Roman"/>
          <w:color w:val="555555"/>
          <w:sz w:val="26"/>
          <w:szCs w:val="26"/>
          <w:lang w:eastAsia="en-GB"/>
        </w:rPr>
      </w:pPr>
      <w:r w:rsidRPr="00744169">
        <w:rPr>
          <w:rFonts w:ascii="&amp;quot" w:eastAsia="Times New Roman" w:hAnsi="&amp;quot" w:cs="Times New Roman"/>
          <w:color w:val="555555"/>
          <w:sz w:val="26"/>
          <w:szCs w:val="26"/>
          <w:lang w:eastAsia="en-GB"/>
        </w:rPr>
        <w:t>The combination of a strong VET system with strict employment protection has shown to be effective in ensuring a smooth transition and good career prospects by matching skills and knowledge with employer demand. There is thus a case to expand and enforce programmes such as the EU Youth Employment Initiative and to provide sustainable support for the most vulnerable.</w:t>
      </w:r>
    </w:p>
    <w:p w:rsidR="00744169" w:rsidRPr="00744169" w:rsidRDefault="00744169" w:rsidP="00744169">
      <w:pPr>
        <w:spacing w:after="300" w:line="240" w:lineRule="auto"/>
        <w:jc w:val="both"/>
        <w:rPr>
          <w:rFonts w:ascii="&amp;quot" w:eastAsia="Times New Roman" w:hAnsi="&amp;quot" w:cs="Times New Roman"/>
          <w:color w:val="555555"/>
          <w:sz w:val="26"/>
          <w:szCs w:val="26"/>
          <w:lang w:eastAsia="en-GB"/>
        </w:rPr>
      </w:pPr>
      <w:r w:rsidRPr="00744169">
        <w:rPr>
          <w:rFonts w:ascii="&amp;quot" w:eastAsia="Times New Roman" w:hAnsi="&amp;quot" w:cs="Times New Roman"/>
          <w:b/>
          <w:bCs/>
          <w:color w:val="555555"/>
          <w:sz w:val="26"/>
          <w:szCs w:val="26"/>
          <w:lang w:eastAsia="en-GB"/>
        </w:rPr>
        <w:t>2. Providing well-focused career guidance and information for all learners</w:t>
      </w:r>
    </w:p>
    <w:p w:rsidR="00744169" w:rsidRPr="00744169" w:rsidRDefault="00744169" w:rsidP="00744169">
      <w:pPr>
        <w:spacing w:after="300" w:line="240" w:lineRule="auto"/>
        <w:jc w:val="both"/>
        <w:rPr>
          <w:rFonts w:ascii="&amp;quot" w:eastAsia="Times New Roman" w:hAnsi="&amp;quot" w:cs="Times New Roman"/>
          <w:color w:val="555555"/>
          <w:sz w:val="26"/>
          <w:szCs w:val="26"/>
          <w:lang w:eastAsia="en-GB"/>
        </w:rPr>
      </w:pPr>
      <w:r w:rsidRPr="00744169">
        <w:rPr>
          <w:rFonts w:ascii="&amp;quot" w:eastAsia="Times New Roman" w:hAnsi="&amp;quot" w:cs="Times New Roman"/>
          <w:color w:val="555555"/>
          <w:sz w:val="26"/>
          <w:szCs w:val="26"/>
          <w:lang w:eastAsia="en-GB"/>
        </w:rPr>
        <w:lastRenderedPageBreak/>
        <w:t xml:space="preserve">In 2019, the OECD, </w:t>
      </w:r>
      <w:proofErr w:type="spellStart"/>
      <w:r w:rsidRPr="00744169">
        <w:rPr>
          <w:rFonts w:ascii="&amp;quot" w:eastAsia="Times New Roman" w:hAnsi="&amp;quot" w:cs="Times New Roman"/>
          <w:color w:val="555555"/>
          <w:sz w:val="26"/>
          <w:szCs w:val="26"/>
          <w:lang w:eastAsia="en-GB"/>
        </w:rPr>
        <w:t>Cedefop</w:t>
      </w:r>
      <w:proofErr w:type="spellEnd"/>
      <w:r w:rsidRPr="00744169">
        <w:rPr>
          <w:rFonts w:ascii="&amp;quot" w:eastAsia="Times New Roman" w:hAnsi="&amp;quot" w:cs="Times New Roman"/>
          <w:color w:val="555555"/>
          <w:sz w:val="26"/>
          <w:szCs w:val="26"/>
          <w:lang w:eastAsia="en-GB"/>
        </w:rPr>
        <w:t xml:space="preserve">, European Commission, European Training Foundation, ILO and UNESCO launched a </w:t>
      </w:r>
      <w:hyperlink r:id="rId10" w:tgtFrame="_blank" w:history="1">
        <w:r w:rsidRPr="00744169">
          <w:rPr>
            <w:rFonts w:ascii="&amp;quot" w:eastAsia="Times New Roman" w:hAnsi="&amp;quot" w:cs="Times New Roman"/>
            <w:color w:val="3D69A6"/>
            <w:sz w:val="26"/>
            <w:szCs w:val="26"/>
            <w:u w:val="single"/>
            <w:lang w:eastAsia="en-GB"/>
          </w:rPr>
          <w:t>joint leaflet</w:t>
        </w:r>
      </w:hyperlink>
      <w:r w:rsidRPr="00744169">
        <w:rPr>
          <w:rFonts w:ascii="&amp;quot" w:eastAsia="Times New Roman" w:hAnsi="&amp;quot" w:cs="Times New Roman"/>
          <w:color w:val="555555"/>
          <w:sz w:val="26"/>
          <w:szCs w:val="26"/>
          <w:lang w:eastAsia="en-GB"/>
        </w:rPr>
        <w:t xml:space="preserve"> on the importance of career guidance. The publication recognised that with today’s young people staying in education longer than any preceding generation, they need to make ever more decisions about what, where and how hard to study in order to secure the qualifications needed to pursue their aspirations. With work increasingly automated and precarious however, decision-making has become more difficult.</w:t>
      </w:r>
    </w:p>
    <w:p w:rsidR="00744169" w:rsidRPr="00744169" w:rsidRDefault="00744169" w:rsidP="00744169">
      <w:pPr>
        <w:spacing w:after="300" w:line="240" w:lineRule="auto"/>
        <w:jc w:val="both"/>
        <w:rPr>
          <w:rFonts w:ascii="&amp;quot" w:eastAsia="Times New Roman" w:hAnsi="&amp;quot" w:cs="Times New Roman"/>
          <w:color w:val="555555"/>
          <w:sz w:val="26"/>
          <w:szCs w:val="26"/>
          <w:lang w:eastAsia="en-GB"/>
        </w:rPr>
      </w:pPr>
      <w:r w:rsidRPr="00744169">
        <w:rPr>
          <w:rFonts w:ascii="&amp;quot" w:eastAsia="Times New Roman" w:hAnsi="&amp;quot" w:cs="Times New Roman"/>
          <w:color w:val="555555"/>
          <w:sz w:val="26"/>
          <w:szCs w:val="26"/>
          <w:lang w:eastAsia="en-GB"/>
        </w:rPr>
        <w:t>In a recession, the importance of guidance grows. Demand for employment falls, but in an uneven way. Young people, who might have expected to move into work, commonly try to weather the storm by staying in education. Typically, it is lower achieving young people from more disadvantaged backgrounds with weak access to family-based guidance who most need help from career guidance services in making informed decisions.</w:t>
      </w:r>
    </w:p>
    <w:p w:rsidR="00744169" w:rsidRPr="00744169" w:rsidRDefault="00744169" w:rsidP="00744169">
      <w:pPr>
        <w:spacing w:after="300" w:line="240" w:lineRule="auto"/>
        <w:jc w:val="both"/>
        <w:rPr>
          <w:rFonts w:ascii="&amp;quot" w:eastAsia="Times New Roman" w:hAnsi="&amp;quot" w:cs="Times New Roman"/>
          <w:color w:val="555555"/>
          <w:sz w:val="26"/>
          <w:szCs w:val="26"/>
          <w:lang w:eastAsia="en-GB"/>
        </w:rPr>
      </w:pPr>
      <w:r w:rsidRPr="00744169">
        <w:rPr>
          <w:rFonts w:ascii="&amp;quot" w:eastAsia="Times New Roman" w:hAnsi="&amp;quot" w:cs="Times New Roman"/>
          <w:color w:val="555555"/>
          <w:sz w:val="26"/>
          <w:szCs w:val="26"/>
          <w:lang w:eastAsia="en-GB"/>
        </w:rPr>
        <w:t xml:space="preserve">OECD </w:t>
      </w:r>
      <w:hyperlink r:id="rId11" w:tgtFrame="_blank" w:history="1">
        <w:r w:rsidRPr="00744169">
          <w:rPr>
            <w:rFonts w:ascii="&amp;quot" w:eastAsia="Times New Roman" w:hAnsi="&amp;quot" w:cs="Times New Roman"/>
            <w:color w:val="3D69A6"/>
            <w:sz w:val="26"/>
            <w:szCs w:val="26"/>
            <w:u w:val="single"/>
            <w:lang w:eastAsia="en-GB"/>
          </w:rPr>
          <w:t>PISA 2018 data</w:t>
        </w:r>
      </w:hyperlink>
      <w:r w:rsidRPr="00744169">
        <w:rPr>
          <w:rFonts w:ascii="&amp;quot" w:eastAsia="Times New Roman" w:hAnsi="&amp;quot" w:cs="Times New Roman"/>
          <w:color w:val="555555"/>
          <w:sz w:val="26"/>
          <w:szCs w:val="26"/>
          <w:lang w:eastAsia="en-GB"/>
        </w:rPr>
        <w:t xml:space="preserve"> show that young people’s career expectations tend to be unrealistic, poorly informed and distorted by gender, social class and migrant status. A turbulent economy is likely to increase the mismatch between labour market demand and young people’s occupational aspirations and educational qualifications.</w:t>
      </w:r>
    </w:p>
    <w:p w:rsidR="00744169" w:rsidRPr="00744169" w:rsidRDefault="00744169" w:rsidP="00744169">
      <w:pPr>
        <w:spacing w:after="300" w:line="240" w:lineRule="auto"/>
        <w:jc w:val="both"/>
        <w:rPr>
          <w:rFonts w:ascii="&amp;quot" w:eastAsia="Times New Roman" w:hAnsi="&amp;quot" w:cs="Times New Roman"/>
          <w:color w:val="555555"/>
          <w:sz w:val="26"/>
          <w:szCs w:val="26"/>
          <w:lang w:eastAsia="en-GB"/>
        </w:rPr>
      </w:pPr>
      <w:r w:rsidRPr="00744169">
        <w:rPr>
          <w:rFonts w:ascii="&amp;quot" w:eastAsia="Times New Roman" w:hAnsi="&amp;quot" w:cs="Times New Roman"/>
          <w:color w:val="555555"/>
          <w:sz w:val="26"/>
          <w:szCs w:val="26"/>
          <w:lang w:eastAsia="en-GB"/>
        </w:rPr>
        <w:t>The pandemic is an opportunity to broaden the interests of young people, witnessing the contributions that so many (often overlooked) workers make to the fundamental operation of society.</w:t>
      </w:r>
    </w:p>
    <w:p w:rsidR="00744169" w:rsidRPr="00744169" w:rsidRDefault="00744169" w:rsidP="00744169">
      <w:pPr>
        <w:spacing w:after="300" w:line="240" w:lineRule="auto"/>
        <w:jc w:val="both"/>
        <w:rPr>
          <w:rFonts w:ascii="&amp;quot" w:eastAsia="Times New Roman" w:hAnsi="&amp;quot" w:cs="Times New Roman"/>
          <w:color w:val="555555"/>
          <w:sz w:val="26"/>
          <w:szCs w:val="26"/>
          <w:lang w:eastAsia="en-GB"/>
        </w:rPr>
      </w:pPr>
      <w:r w:rsidRPr="00744169">
        <w:rPr>
          <w:rFonts w:ascii="&amp;quot" w:eastAsia="Times New Roman" w:hAnsi="&amp;quot" w:cs="Times New Roman"/>
          <w:color w:val="555555"/>
          <w:sz w:val="26"/>
          <w:szCs w:val="26"/>
          <w:lang w:eastAsia="en-GB"/>
        </w:rPr>
        <w:t xml:space="preserve">The </w:t>
      </w:r>
      <w:proofErr w:type="gramStart"/>
      <w:r w:rsidRPr="00744169">
        <w:rPr>
          <w:rFonts w:ascii="&amp;quot" w:eastAsia="Times New Roman" w:hAnsi="&amp;quot" w:cs="Times New Roman"/>
          <w:color w:val="555555"/>
          <w:sz w:val="26"/>
          <w:szCs w:val="26"/>
          <w:lang w:eastAsia="en-GB"/>
        </w:rPr>
        <w:t>pandemic</w:t>
      </w:r>
      <w:proofErr w:type="gramEnd"/>
      <w:r w:rsidRPr="00744169">
        <w:rPr>
          <w:rFonts w:ascii="&amp;quot" w:eastAsia="Times New Roman" w:hAnsi="&amp;quot" w:cs="Times New Roman"/>
          <w:color w:val="555555"/>
          <w:sz w:val="26"/>
          <w:szCs w:val="26"/>
          <w:lang w:eastAsia="en-GB"/>
        </w:rPr>
        <w:t xml:space="preserve"> however, also represents an opportunity to broaden the interests of young people as they witness in real time the contributions that so many (often overlooked) workers make to the fundamental operation of society and the struggle against the coronavirus. During this crisis, a differentiation has been made between ‘essential’ and ‘non-essential’ work. Essential workers include those in the caring professions, social services, transport and service industries (including cleaners and refuse collectors). Most of these occupations do not score high in social prestige, are generally poorly paid and without </w:t>
      </w:r>
      <w:proofErr w:type="gramStart"/>
      <w:r w:rsidRPr="00744169">
        <w:rPr>
          <w:rFonts w:ascii="&amp;quot" w:eastAsia="Times New Roman" w:hAnsi="&amp;quot" w:cs="Times New Roman"/>
          <w:color w:val="555555"/>
          <w:sz w:val="26"/>
          <w:szCs w:val="26"/>
          <w:lang w:eastAsia="en-GB"/>
        </w:rPr>
        <w:t>sufficient</w:t>
      </w:r>
      <w:proofErr w:type="gramEnd"/>
      <w:r w:rsidRPr="00744169">
        <w:rPr>
          <w:rFonts w:ascii="&amp;quot" w:eastAsia="Times New Roman" w:hAnsi="&amp;quot" w:cs="Times New Roman"/>
          <w:color w:val="555555"/>
          <w:sz w:val="26"/>
          <w:szCs w:val="26"/>
          <w:lang w:eastAsia="en-GB"/>
        </w:rPr>
        <w:t xml:space="preserve"> job security. In times of crisis however, we are strongly dependent on them. Making the positive contributions of these ‘essential industries’ more visible could broaden the aspirations of young people. At the same time, the case grows stronger for properly rewarding those employed in ‘essential industries’, providing opportunities for further training and upskilling, and movement up the occupational hierarchy.  </w:t>
      </w:r>
    </w:p>
    <w:p w:rsidR="00744169" w:rsidRPr="00744169" w:rsidRDefault="00744169" w:rsidP="00744169">
      <w:pPr>
        <w:spacing w:after="300" w:line="240" w:lineRule="auto"/>
        <w:jc w:val="both"/>
        <w:rPr>
          <w:rFonts w:ascii="&amp;quot" w:eastAsia="Times New Roman" w:hAnsi="&amp;quot" w:cs="Times New Roman"/>
          <w:color w:val="555555"/>
          <w:sz w:val="26"/>
          <w:szCs w:val="26"/>
          <w:lang w:eastAsia="en-GB"/>
        </w:rPr>
      </w:pPr>
      <w:r w:rsidRPr="00744169">
        <w:rPr>
          <w:rFonts w:ascii="&amp;quot" w:eastAsia="Times New Roman" w:hAnsi="&amp;quot" w:cs="Times New Roman"/>
          <w:color w:val="555555"/>
          <w:sz w:val="26"/>
          <w:szCs w:val="26"/>
          <w:lang w:eastAsia="en-GB"/>
        </w:rPr>
        <w:t xml:space="preserve">Across the OECD, compulsory education ends on average at age 16. PISA 2018 shows however, that by the age of 15, fewer than half of teenagers have spoken with a career counsellor, attended a job fair or undertaken an internship. Part-time teenage working and school-mediated career development activities have been linked to better employment outcomes than would otherwise be expected. In an </w:t>
      </w:r>
      <w:r w:rsidRPr="00744169">
        <w:rPr>
          <w:rFonts w:ascii="&amp;quot" w:eastAsia="Times New Roman" w:hAnsi="&amp;quot" w:cs="Times New Roman"/>
          <w:color w:val="555555"/>
          <w:sz w:val="26"/>
          <w:szCs w:val="26"/>
          <w:lang w:eastAsia="en-GB"/>
        </w:rPr>
        <w:lastRenderedPageBreak/>
        <w:t xml:space="preserve">economic crisis, it becomes more important than ever for schools to give all young people access to information about the labour market and exposure to the world of work. In the current period of social distancing, it is vital that countries find ways, </w:t>
      </w:r>
      <w:hyperlink r:id="rId12" w:history="1">
        <w:r w:rsidRPr="00744169">
          <w:rPr>
            <w:rFonts w:ascii="&amp;quot" w:eastAsia="Times New Roman" w:hAnsi="&amp;quot" w:cs="Times New Roman"/>
            <w:color w:val="3D69A6"/>
            <w:sz w:val="26"/>
            <w:szCs w:val="26"/>
            <w:u w:val="single"/>
            <w:lang w:eastAsia="en-GB"/>
          </w:rPr>
          <w:t>as is happening in Estonia</w:t>
        </w:r>
      </w:hyperlink>
      <w:r w:rsidRPr="00744169">
        <w:rPr>
          <w:rFonts w:ascii="&amp;quot" w:eastAsia="Times New Roman" w:hAnsi="&amp;quot" w:cs="Times New Roman"/>
          <w:color w:val="555555"/>
          <w:sz w:val="26"/>
          <w:szCs w:val="26"/>
          <w:lang w:eastAsia="en-GB"/>
        </w:rPr>
        <w:t>, to ensure that job fairs and even work placements continue.  This guidance will actively support young people in their transition into work, help them become critical thinkers and prepare them to compete in tough recruitment exercises.</w:t>
      </w:r>
    </w:p>
    <w:p w:rsidR="00744169" w:rsidRPr="00744169" w:rsidRDefault="00744169" w:rsidP="00744169">
      <w:pPr>
        <w:spacing w:after="300" w:line="240" w:lineRule="auto"/>
        <w:jc w:val="both"/>
        <w:rPr>
          <w:rFonts w:ascii="&amp;quot" w:eastAsia="Times New Roman" w:hAnsi="&amp;quot" w:cs="Times New Roman"/>
          <w:color w:val="555555"/>
          <w:sz w:val="26"/>
          <w:szCs w:val="26"/>
          <w:lang w:eastAsia="en-GB"/>
        </w:rPr>
      </w:pPr>
      <w:r w:rsidRPr="00744169">
        <w:rPr>
          <w:rFonts w:ascii="&amp;quot" w:eastAsia="Times New Roman" w:hAnsi="&amp;quot" w:cs="Times New Roman"/>
          <w:b/>
          <w:bCs/>
          <w:color w:val="555555"/>
          <w:sz w:val="26"/>
          <w:szCs w:val="26"/>
          <w:lang w:eastAsia="en-GB"/>
        </w:rPr>
        <w:t>3. Introducing remedial interventions to help young people after they leave education</w:t>
      </w:r>
    </w:p>
    <w:p w:rsidR="00744169" w:rsidRPr="00744169" w:rsidRDefault="00744169" w:rsidP="00744169">
      <w:pPr>
        <w:spacing w:after="300" w:line="240" w:lineRule="auto"/>
        <w:jc w:val="both"/>
        <w:rPr>
          <w:rFonts w:ascii="&amp;quot" w:eastAsia="Times New Roman" w:hAnsi="&amp;quot" w:cs="Times New Roman"/>
          <w:color w:val="555555"/>
          <w:sz w:val="26"/>
          <w:szCs w:val="26"/>
          <w:lang w:eastAsia="en-GB"/>
        </w:rPr>
      </w:pPr>
      <w:r w:rsidRPr="00744169">
        <w:rPr>
          <w:rFonts w:ascii="&amp;quot" w:eastAsia="Times New Roman" w:hAnsi="&amp;quot" w:cs="Times New Roman"/>
          <w:color w:val="555555"/>
          <w:sz w:val="26"/>
          <w:szCs w:val="26"/>
          <w:lang w:eastAsia="en-GB"/>
        </w:rPr>
        <w:t xml:space="preserve">Education systems can increase the competitiveness of all young people for available employment, but they cannot make unemployment disappear. Effective systems will put in place active labour market initiatives to support young workers who struggle to find employment. Interventions should include support for lifelong learning using digital tools and online training sites to facilitate upskilling and reskilling among young workers in a changing labour </w:t>
      </w:r>
      <w:proofErr w:type="gramStart"/>
      <w:r w:rsidRPr="00744169">
        <w:rPr>
          <w:rFonts w:ascii="&amp;quot" w:eastAsia="Times New Roman" w:hAnsi="&amp;quot" w:cs="Times New Roman"/>
          <w:color w:val="555555"/>
          <w:sz w:val="26"/>
          <w:szCs w:val="26"/>
          <w:lang w:eastAsia="en-GB"/>
        </w:rPr>
        <w:t>market, and</w:t>
      </w:r>
      <w:proofErr w:type="gramEnd"/>
      <w:r w:rsidRPr="00744169">
        <w:rPr>
          <w:rFonts w:ascii="&amp;quot" w:eastAsia="Times New Roman" w:hAnsi="&amp;quot" w:cs="Times New Roman"/>
          <w:color w:val="555555"/>
          <w:sz w:val="26"/>
          <w:szCs w:val="26"/>
          <w:lang w:eastAsia="en-GB"/>
        </w:rPr>
        <w:t xml:space="preserve"> devote attention as well to addressing the housing needs of young people.</w:t>
      </w:r>
    </w:p>
    <w:p w:rsidR="00744169" w:rsidRPr="00744169" w:rsidRDefault="00744169" w:rsidP="00744169">
      <w:pPr>
        <w:spacing w:after="300" w:line="240" w:lineRule="auto"/>
        <w:jc w:val="both"/>
        <w:rPr>
          <w:rFonts w:ascii="&amp;quot" w:eastAsia="Times New Roman" w:hAnsi="&amp;quot" w:cs="Times New Roman"/>
          <w:color w:val="555555"/>
          <w:sz w:val="26"/>
          <w:szCs w:val="26"/>
          <w:lang w:eastAsia="en-GB"/>
        </w:rPr>
      </w:pPr>
      <w:r w:rsidRPr="00744169">
        <w:rPr>
          <w:rFonts w:ascii="&amp;quot" w:eastAsia="Times New Roman" w:hAnsi="&amp;quot" w:cs="Times New Roman"/>
          <w:color w:val="555555"/>
          <w:sz w:val="26"/>
          <w:szCs w:val="26"/>
          <w:lang w:eastAsia="en-GB"/>
        </w:rPr>
        <w:t>By learning the lessons of past crises, governments and education systems can ensure that the workforce of the future starts its journey on the firmest footing possible today.</w:t>
      </w:r>
    </w:p>
    <w:p w:rsidR="00744169" w:rsidRPr="00744169" w:rsidRDefault="00744169" w:rsidP="00744169">
      <w:pPr>
        <w:spacing w:after="300" w:line="240" w:lineRule="auto"/>
        <w:jc w:val="both"/>
        <w:rPr>
          <w:rFonts w:ascii="&amp;quot" w:eastAsia="Times New Roman" w:hAnsi="&amp;quot" w:cs="Times New Roman"/>
          <w:color w:val="555555"/>
          <w:sz w:val="26"/>
          <w:szCs w:val="26"/>
          <w:lang w:eastAsia="en-GB"/>
        </w:rPr>
      </w:pPr>
      <w:r w:rsidRPr="00744169">
        <w:rPr>
          <w:rFonts w:ascii="&amp;quot" w:eastAsia="Times New Roman" w:hAnsi="&amp;quot" w:cs="Times New Roman"/>
          <w:b/>
          <w:bCs/>
          <w:color w:val="555555"/>
          <w:sz w:val="26"/>
          <w:szCs w:val="26"/>
          <w:lang w:eastAsia="en-GB"/>
        </w:rPr>
        <w:t>Read more:</w:t>
      </w:r>
    </w:p>
    <w:p w:rsidR="00744169" w:rsidRPr="00744169" w:rsidRDefault="00B03DDC" w:rsidP="00744169">
      <w:pPr>
        <w:numPr>
          <w:ilvl w:val="0"/>
          <w:numId w:val="1"/>
        </w:numPr>
        <w:spacing w:before="100" w:beforeAutospacing="1" w:after="100" w:afterAutospacing="1" w:line="240" w:lineRule="auto"/>
        <w:ind w:left="480"/>
        <w:jc w:val="both"/>
        <w:rPr>
          <w:rFonts w:ascii="&amp;quot" w:eastAsia="Times New Roman" w:hAnsi="&amp;quot" w:cs="Times New Roman"/>
          <w:color w:val="555555"/>
          <w:sz w:val="26"/>
          <w:szCs w:val="26"/>
          <w:lang w:eastAsia="en-GB"/>
        </w:rPr>
      </w:pPr>
      <w:hyperlink r:id="rId13" w:tgtFrame="_blank" w:history="1">
        <w:r w:rsidR="00744169" w:rsidRPr="00744169">
          <w:rPr>
            <w:rFonts w:ascii="&amp;quot" w:eastAsia="Times New Roman" w:hAnsi="&amp;quot" w:cs="Times New Roman"/>
            <w:color w:val="3D69A6"/>
            <w:sz w:val="26"/>
            <w:szCs w:val="26"/>
            <w:u w:val="single"/>
            <w:lang w:eastAsia="en-GB"/>
          </w:rPr>
          <w:t>Learning for Jobs</w:t>
        </w:r>
      </w:hyperlink>
    </w:p>
    <w:p w:rsidR="00744169" w:rsidRPr="00744169" w:rsidRDefault="00B03DDC" w:rsidP="00744169">
      <w:pPr>
        <w:numPr>
          <w:ilvl w:val="0"/>
          <w:numId w:val="1"/>
        </w:numPr>
        <w:spacing w:before="100" w:beforeAutospacing="1" w:after="100" w:afterAutospacing="1" w:line="240" w:lineRule="auto"/>
        <w:ind w:left="480"/>
        <w:jc w:val="both"/>
        <w:rPr>
          <w:rFonts w:ascii="&amp;quot" w:eastAsia="Times New Roman" w:hAnsi="&amp;quot" w:cs="Times New Roman"/>
          <w:color w:val="555555"/>
          <w:sz w:val="26"/>
          <w:szCs w:val="26"/>
          <w:lang w:eastAsia="en-GB"/>
        </w:rPr>
      </w:pPr>
      <w:hyperlink r:id="rId14" w:tgtFrame="_blank" w:history="1">
        <w:r w:rsidR="00744169" w:rsidRPr="00744169">
          <w:rPr>
            <w:rFonts w:ascii="&amp;quot" w:eastAsia="Times New Roman" w:hAnsi="&amp;quot" w:cs="Times New Roman"/>
            <w:color w:val="3D69A6"/>
            <w:sz w:val="26"/>
            <w:szCs w:val="26"/>
            <w:u w:val="single"/>
            <w:lang w:eastAsia="en-GB"/>
          </w:rPr>
          <w:t>Off to a good start? Jobs for youth</w:t>
        </w:r>
      </w:hyperlink>
    </w:p>
    <w:p w:rsidR="00744169" w:rsidRPr="00744169" w:rsidRDefault="00B03DDC" w:rsidP="00744169">
      <w:pPr>
        <w:numPr>
          <w:ilvl w:val="0"/>
          <w:numId w:val="1"/>
        </w:numPr>
        <w:spacing w:before="100" w:beforeAutospacing="1" w:after="100" w:afterAutospacing="1" w:line="240" w:lineRule="auto"/>
        <w:ind w:left="480"/>
        <w:jc w:val="both"/>
        <w:rPr>
          <w:rFonts w:ascii="&amp;quot" w:eastAsia="Times New Roman" w:hAnsi="&amp;quot" w:cs="Times New Roman"/>
          <w:color w:val="555555"/>
          <w:sz w:val="26"/>
          <w:szCs w:val="26"/>
          <w:lang w:eastAsia="en-GB"/>
        </w:rPr>
      </w:pPr>
      <w:hyperlink r:id="rId15" w:tgtFrame="_blank" w:history="1">
        <w:r w:rsidR="00744169" w:rsidRPr="00744169">
          <w:rPr>
            <w:rFonts w:ascii="&amp;quot" w:eastAsia="Times New Roman" w:hAnsi="&amp;quot" w:cs="Times New Roman"/>
            <w:color w:val="3D69A6"/>
            <w:sz w:val="26"/>
            <w:szCs w:val="26"/>
            <w:u w:val="single"/>
            <w:lang w:eastAsia="en-GB"/>
          </w:rPr>
          <w:t>Seven Questions about Apprenticeships: answers from international experience</w:t>
        </w:r>
      </w:hyperlink>
    </w:p>
    <w:p w:rsidR="00744169" w:rsidRPr="00744169" w:rsidRDefault="00B03DDC" w:rsidP="00744169">
      <w:pPr>
        <w:numPr>
          <w:ilvl w:val="0"/>
          <w:numId w:val="1"/>
        </w:numPr>
        <w:spacing w:before="100" w:beforeAutospacing="1" w:after="100" w:afterAutospacing="1" w:line="240" w:lineRule="auto"/>
        <w:ind w:left="480"/>
        <w:jc w:val="both"/>
        <w:rPr>
          <w:rFonts w:ascii="&amp;quot" w:eastAsia="Times New Roman" w:hAnsi="&amp;quot" w:cs="Times New Roman"/>
          <w:color w:val="555555"/>
          <w:sz w:val="26"/>
          <w:szCs w:val="26"/>
          <w:lang w:eastAsia="en-GB"/>
        </w:rPr>
      </w:pPr>
      <w:hyperlink r:id="rId16" w:tgtFrame="_blank" w:history="1">
        <w:r w:rsidR="00744169" w:rsidRPr="00744169">
          <w:rPr>
            <w:rFonts w:ascii="&amp;quot" w:eastAsia="Times New Roman" w:hAnsi="&amp;quot" w:cs="Times New Roman"/>
            <w:color w:val="3D69A6"/>
            <w:sz w:val="26"/>
            <w:szCs w:val="26"/>
            <w:u w:val="single"/>
            <w:lang w:eastAsia="en-GB"/>
          </w:rPr>
          <w:t>Why is youth unemployment so high and different across countries?</w:t>
        </w:r>
      </w:hyperlink>
    </w:p>
    <w:p w:rsidR="00744169" w:rsidRPr="00744169" w:rsidRDefault="00B03DDC" w:rsidP="00744169">
      <w:pPr>
        <w:numPr>
          <w:ilvl w:val="0"/>
          <w:numId w:val="1"/>
        </w:numPr>
        <w:spacing w:before="100" w:beforeAutospacing="1" w:after="100" w:afterAutospacing="1" w:line="240" w:lineRule="auto"/>
        <w:ind w:left="480"/>
        <w:jc w:val="both"/>
        <w:rPr>
          <w:rFonts w:ascii="&amp;quot" w:eastAsia="Times New Roman" w:hAnsi="&amp;quot" w:cs="Times New Roman"/>
          <w:color w:val="555555"/>
          <w:sz w:val="26"/>
          <w:szCs w:val="26"/>
          <w:lang w:eastAsia="en-GB"/>
        </w:rPr>
      </w:pPr>
      <w:hyperlink r:id="rId17" w:tgtFrame="_blank" w:history="1">
        <w:r w:rsidR="00744169" w:rsidRPr="00744169">
          <w:rPr>
            <w:rFonts w:ascii="&amp;quot" w:eastAsia="Times New Roman" w:hAnsi="&amp;quot" w:cs="Times New Roman"/>
            <w:color w:val="3D69A6"/>
            <w:sz w:val="26"/>
            <w:szCs w:val="26"/>
            <w:u w:val="single"/>
            <w:lang w:eastAsia="en-GB"/>
          </w:rPr>
          <w:t>Young People’s Development and the Great Recession: Uncertain Transitions and Precarious Futures</w:t>
        </w:r>
      </w:hyperlink>
    </w:p>
    <w:p w:rsidR="00744169" w:rsidRPr="00744169" w:rsidRDefault="00B03DDC" w:rsidP="00744169">
      <w:pPr>
        <w:numPr>
          <w:ilvl w:val="0"/>
          <w:numId w:val="1"/>
        </w:numPr>
        <w:spacing w:before="100" w:beforeAutospacing="1" w:after="100" w:afterAutospacing="1" w:line="240" w:lineRule="auto"/>
        <w:ind w:left="480"/>
        <w:jc w:val="both"/>
        <w:rPr>
          <w:rFonts w:ascii="&amp;quot" w:eastAsia="Times New Roman" w:hAnsi="&amp;quot" w:cs="Times New Roman"/>
          <w:color w:val="555555"/>
          <w:sz w:val="26"/>
          <w:szCs w:val="26"/>
          <w:lang w:eastAsia="en-GB"/>
        </w:rPr>
      </w:pPr>
      <w:hyperlink r:id="rId18" w:tgtFrame="_blank" w:history="1">
        <w:r w:rsidR="00744169" w:rsidRPr="00744169">
          <w:rPr>
            <w:rFonts w:ascii="&amp;quot" w:eastAsia="Times New Roman" w:hAnsi="&amp;quot" w:cs="Times New Roman"/>
            <w:color w:val="3D69A6"/>
            <w:sz w:val="26"/>
            <w:szCs w:val="26"/>
            <w:u w:val="single"/>
            <w:lang w:eastAsia="en-GB"/>
          </w:rPr>
          <w:t>Navigating an uncertain labour market in the UK: the role of structure and agency in the transition from school to work</w:t>
        </w:r>
      </w:hyperlink>
    </w:p>
    <w:p w:rsidR="00744169" w:rsidRPr="00744169" w:rsidRDefault="00B03DDC" w:rsidP="00744169">
      <w:pPr>
        <w:numPr>
          <w:ilvl w:val="0"/>
          <w:numId w:val="1"/>
        </w:numPr>
        <w:spacing w:before="100" w:beforeAutospacing="1" w:after="100" w:afterAutospacing="1" w:line="240" w:lineRule="auto"/>
        <w:ind w:left="480"/>
        <w:jc w:val="both"/>
        <w:rPr>
          <w:rFonts w:ascii="&amp;quot" w:eastAsia="Times New Roman" w:hAnsi="&amp;quot" w:cs="Times New Roman"/>
          <w:color w:val="555555"/>
          <w:sz w:val="26"/>
          <w:szCs w:val="26"/>
          <w:lang w:eastAsia="en-GB"/>
        </w:rPr>
      </w:pPr>
      <w:hyperlink r:id="rId19" w:tgtFrame="_blank" w:history="1">
        <w:r w:rsidR="00744169" w:rsidRPr="00744169">
          <w:rPr>
            <w:rFonts w:ascii="&amp;quot" w:eastAsia="Times New Roman" w:hAnsi="&amp;quot" w:cs="Times New Roman"/>
            <w:color w:val="3D69A6"/>
            <w:sz w:val="26"/>
            <w:szCs w:val="26"/>
            <w:u w:val="single"/>
            <w:lang w:eastAsia="en-GB"/>
          </w:rPr>
          <w:t>Economic conditions of young adults before and after the Great Recession</w:t>
        </w:r>
      </w:hyperlink>
    </w:p>
    <w:p w:rsidR="00744169" w:rsidRPr="00744169" w:rsidRDefault="00B03DDC" w:rsidP="00744169">
      <w:pPr>
        <w:numPr>
          <w:ilvl w:val="0"/>
          <w:numId w:val="1"/>
        </w:numPr>
        <w:spacing w:before="100" w:beforeAutospacing="1" w:after="100" w:afterAutospacing="1" w:line="240" w:lineRule="auto"/>
        <w:ind w:left="480"/>
        <w:jc w:val="both"/>
        <w:rPr>
          <w:rFonts w:ascii="&amp;quot" w:eastAsia="Times New Roman" w:hAnsi="&amp;quot" w:cs="Times New Roman"/>
          <w:color w:val="555555"/>
          <w:sz w:val="26"/>
          <w:szCs w:val="26"/>
          <w:lang w:eastAsia="en-GB"/>
        </w:rPr>
      </w:pPr>
      <w:hyperlink r:id="rId20" w:tgtFrame="_blank" w:history="1">
        <w:r w:rsidR="00744169" w:rsidRPr="00744169">
          <w:rPr>
            <w:rFonts w:ascii="&amp;quot" w:eastAsia="Times New Roman" w:hAnsi="&amp;quot" w:cs="Times New Roman"/>
            <w:color w:val="3D69A6"/>
            <w:sz w:val="26"/>
            <w:szCs w:val="26"/>
            <w:u w:val="single"/>
            <w:lang w:eastAsia="en-GB"/>
          </w:rPr>
          <w:t>Careers Education: international literature review</w:t>
        </w:r>
      </w:hyperlink>
    </w:p>
    <w:p w:rsidR="00744169" w:rsidRPr="00744169" w:rsidRDefault="00B03DDC" w:rsidP="00744169">
      <w:pPr>
        <w:numPr>
          <w:ilvl w:val="0"/>
          <w:numId w:val="1"/>
        </w:numPr>
        <w:spacing w:before="100" w:beforeAutospacing="1" w:after="100" w:afterAutospacing="1" w:line="240" w:lineRule="auto"/>
        <w:ind w:left="480"/>
        <w:jc w:val="both"/>
        <w:rPr>
          <w:rFonts w:ascii="&amp;quot" w:eastAsia="Times New Roman" w:hAnsi="&amp;quot" w:cs="Times New Roman"/>
          <w:color w:val="555555"/>
          <w:sz w:val="26"/>
          <w:szCs w:val="26"/>
          <w:lang w:eastAsia="en-GB"/>
        </w:rPr>
      </w:pPr>
      <w:hyperlink r:id="rId21" w:tgtFrame="_blank" w:history="1">
        <w:r w:rsidR="00744169" w:rsidRPr="00744169">
          <w:rPr>
            <w:rFonts w:ascii="&amp;quot" w:eastAsia="Times New Roman" w:hAnsi="&amp;quot" w:cs="Times New Roman"/>
            <w:color w:val="3D69A6"/>
            <w:sz w:val="26"/>
            <w:szCs w:val="26"/>
            <w:u w:val="single"/>
            <w:lang w:eastAsia="en-GB"/>
          </w:rPr>
          <w:t>A framework to guide an education response to the COVID-19 pandemic of 2020</w:t>
        </w:r>
      </w:hyperlink>
    </w:p>
    <w:p w:rsidR="00744169" w:rsidRPr="00744169" w:rsidRDefault="00B03DDC" w:rsidP="00744169">
      <w:pPr>
        <w:numPr>
          <w:ilvl w:val="0"/>
          <w:numId w:val="1"/>
        </w:numPr>
        <w:spacing w:before="100" w:beforeAutospacing="1" w:after="100" w:afterAutospacing="1" w:line="240" w:lineRule="auto"/>
        <w:ind w:left="480"/>
        <w:jc w:val="both"/>
        <w:rPr>
          <w:rFonts w:ascii="&amp;quot" w:eastAsia="Times New Roman" w:hAnsi="&amp;quot" w:cs="Times New Roman"/>
          <w:color w:val="555555"/>
          <w:sz w:val="26"/>
          <w:szCs w:val="26"/>
          <w:lang w:eastAsia="en-GB"/>
        </w:rPr>
      </w:pPr>
      <w:hyperlink r:id="rId22" w:tgtFrame="_blank" w:history="1">
        <w:r w:rsidR="00744169" w:rsidRPr="00744169">
          <w:rPr>
            <w:rFonts w:ascii="&amp;quot" w:eastAsia="Times New Roman" w:hAnsi="&amp;quot" w:cs="Times New Roman"/>
            <w:color w:val="3D69A6"/>
            <w:sz w:val="26"/>
            <w:szCs w:val="26"/>
            <w:u w:val="single"/>
            <w:lang w:eastAsia="en-GB"/>
          </w:rPr>
          <w:t>The OECD coronavirus (COVID-19) policy hub</w:t>
        </w:r>
      </w:hyperlink>
    </w:p>
    <w:p w:rsidR="002C3274" w:rsidRDefault="002C3274"/>
    <w:sectPr w:rsidR="002C32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57DFA"/>
    <w:multiLevelType w:val="multilevel"/>
    <w:tmpl w:val="88F8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169"/>
    <w:rsid w:val="000B3036"/>
    <w:rsid w:val="002C3274"/>
    <w:rsid w:val="00744169"/>
    <w:rsid w:val="00B03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010D4-EFF6-4DEA-8980-ACF6B094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7441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4416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4416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16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4416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44169"/>
    <w:rPr>
      <w:rFonts w:ascii="Times New Roman" w:eastAsia="Times New Roman" w:hAnsi="Times New Roman" w:cs="Times New Roman"/>
      <w:b/>
      <w:bCs/>
      <w:sz w:val="27"/>
      <w:szCs w:val="27"/>
      <w:lang w:eastAsia="en-GB"/>
    </w:rPr>
  </w:style>
  <w:style w:type="character" w:customStyle="1" w:styleId="author">
    <w:name w:val="author"/>
    <w:basedOn w:val="DefaultParagraphFont"/>
    <w:rsid w:val="00744169"/>
  </w:style>
  <w:style w:type="character" w:styleId="Hyperlink">
    <w:name w:val="Hyperlink"/>
    <w:basedOn w:val="DefaultParagraphFont"/>
    <w:uiPriority w:val="99"/>
    <w:unhideWhenUsed/>
    <w:rsid w:val="00744169"/>
    <w:rPr>
      <w:color w:val="0000FF"/>
      <w:u w:val="single"/>
    </w:rPr>
  </w:style>
  <w:style w:type="character" w:customStyle="1" w:styleId="entry-tags-date">
    <w:name w:val="entry-tags-date"/>
    <w:basedOn w:val="DefaultParagraphFont"/>
    <w:rsid w:val="00744169"/>
  </w:style>
  <w:style w:type="character" w:customStyle="1" w:styleId="entry-categories">
    <w:name w:val="entry-categories"/>
    <w:basedOn w:val="DefaultParagraphFont"/>
    <w:rsid w:val="00744169"/>
  </w:style>
  <w:style w:type="character" w:customStyle="1" w:styleId="meta-nav">
    <w:name w:val="meta-nav"/>
    <w:basedOn w:val="DefaultParagraphFont"/>
    <w:rsid w:val="00744169"/>
  </w:style>
  <w:style w:type="paragraph" w:styleId="NormalWeb">
    <w:name w:val="Normal (Web)"/>
    <w:basedOn w:val="Normal"/>
    <w:uiPriority w:val="99"/>
    <w:semiHidden/>
    <w:unhideWhenUsed/>
    <w:rsid w:val="007441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44169"/>
    <w:rPr>
      <w:b/>
      <w:bCs/>
    </w:rPr>
  </w:style>
  <w:style w:type="character" w:styleId="UnresolvedMention">
    <w:name w:val="Unresolved Mention"/>
    <w:basedOn w:val="DefaultParagraphFont"/>
    <w:uiPriority w:val="99"/>
    <w:semiHidden/>
    <w:unhideWhenUsed/>
    <w:rsid w:val="00744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488741">
      <w:bodyDiv w:val="1"/>
      <w:marLeft w:val="0"/>
      <w:marRight w:val="0"/>
      <w:marTop w:val="0"/>
      <w:marBottom w:val="0"/>
      <w:divBdr>
        <w:top w:val="none" w:sz="0" w:space="0" w:color="auto"/>
        <w:left w:val="none" w:sz="0" w:space="0" w:color="auto"/>
        <w:bottom w:val="none" w:sz="0" w:space="0" w:color="auto"/>
        <w:right w:val="none" w:sz="0" w:space="0" w:color="auto"/>
      </w:divBdr>
      <w:divsChild>
        <w:div w:id="1976449331">
          <w:marLeft w:val="0"/>
          <w:marRight w:val="0"/>
          <w:marTop w:val="0"/>
          <w:marBottom w:val="0"/>
          <w:divBdr>
            <w:top w:val="none" w:sz="0" w:space="0" w:color="auto"/>
            <w:left w:val="none" w:sz="0" w:space="0" w:color="auto"/>
            <w:bottom w:val="none" w:sz="0" w:space="0" w:color="auto"/>
            <w:right w:val="none" w:sz="0" w:space="0" w:color="auto"/>
          </w:divBdr>
        </w:div>
        <w:div w:id="1368605237">
          <w:marLeft w:val="0"/>
          <w:marRight w:val="0"/>
          <w:marTop w:val="0"/>
          <w:marBottom w:val="0"/>
          <w:divBdr>
            <w:top w:val="none" w:sz="0" w:space="0" w:color="auto"/>
            <w:left w:val="none" w:sz="0" w:space="0" w:color="auto"/>
            <w:bottom w:val="none" w:sz="0" w:space="0" w:color="auto"/>
            <w:right w:val="none" w:sz="0" w:space="0" w:color="auto"/>
          </w:divBdr>
          <w:divsChild>
            <w:div w:id="284383">
              <w:marLeft w:val="0"/>
              <w:marRight w:val="0"/>
              <w:marTop w:val="0"/>
              <w:marBottom w:val="0"/>
              <w:divBdr>
                <w:top w:val="none" w:sz="0" w:space="0" w:color="auto"/>
                <w:left w:val="none" w:sz="0" w:space="0" w:color="auto"/>
                <w:bottom w:val="none" w:sz="0" w:space="0" w:color="auto"/>
                <w:right w:val="none" w:sz="0" w:space="0" w:color="auto"/>
              </w:divBdr>
            </w:div>
          </w:divsChild>
        </w:div>
        <w:div w:id="51581120">
          <w:marLeft w:val="0"/>
          <w:marRight w:val="0"/>
          <w:marTop w:val="0"/>
          <w:marBottom w:val="750"/>
          <w:divBdr>
            <w:top w:val="single" w:sz="6" w:space="0" w:color="FFFFFF"/>
            <w:left w:val="single" w:sz="6" w:space="0" w:color="FFFFFF"/>
            <w:bottom w:val="single" w:sz="6" w:space="0" w:color="FFFFFF"/>
            <w:right w:val="single" w:sz="6" w:space="0" w:color="FFFFFF"/>
          </w:divBdr>
        </w:div>
        <w:div w:id="85733984">
          <w:marLeft w:val="0"/>
          <w:marRight w:val="0"/>
          <w:marTop w:val="0"/>
          <w:marBottom w:val="300"/>
          <w:divBdr>
            <w:top w:val="none" w:sz="0" w:space="0" w:color="auto"/>
            <w:left w:val="none" w:sz="0" w:space="0" w:color="auto"/>
            <w:bottom w:val="none" w:sz="0" w:space="0" w:color="auto"/>
            <w:right w:val="none" w:sz="0" w:space="0" w:color="auto"/>
          </w:divBdr>
          <w:divsChild>
            <w:div w:id="577521189">
              <w:marLeft w:val="0"/>
              <w:marRight w:val="0"/>
              <w:marTop w:val="0"/>
              <w:marBottom w:val="240"/>
              <w:divBdr>
                <w:top w:val="none" w:sz="0" w:space="0" w:color="auto"/>
                <w:left w:val="none" w:sz="0" w:space="0" w:color="auto"/>
                <w:bottom w:val="none" w:sz="0" w:space="0" w:color="auto"/>
                <w:right w:val="none" w:sz="0" w:space="0" w:color="auto"/>
              </w:divBdr>
            </w:div>
            <w:div w:id="468090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ecd-ilibrary.org/education/learning-for-jobs_9789264087460-en" TargetMode="External"/><Relationship Id="rId18" Type="http://schemas.openxmlformats.org/officeDocument/2006/relationships/hyperlink" Target="https://discovery.ucl.ac.uk/id/eprint/10096909/1/5_Schoon%20manuscript%20March%202019%20final_IS.pdf" TargetMode="External"/><Relationship Id="rId3" Type="http://schemas.openxmlformats.org/officeDocument/2006/relationships/settings" Target="settings.xml"/><Relationship Id="rId21" Type="http://schemas.openxmlformats.org/officeDocument/2006/relationships/hyperlink" Target="https://read.oecd-ilibrary.org/view/?ref=126_126988-t63lxosohs&amp;title=A-framework-to-guide-an-education-response-to-the-Covid-19-Pandemic-of-2020" TargetMode="External"/><Relationship Id="rId7" Type="http://schemas.openxmlformats.org/officeDocument/2006/relationships/hyperlink" Target="https://oecdedutoday.com/school-work-during-coronavirus-2008-global-financial-crisis/" TargetMode="External"/><Relationship Id="rId12" Type="http://schemas.openxmlformats.org/officeDocument/2006/relationships/hyperlink" Target="https://oecdedutoday.com/estonia-online-career-guidance-during-coronavirus-crisis/" TargetMode="External"/><Relationship Id="rId17" Type="http://schemas.openxmlformats.org/officeDocument/2006/relationships/hyperlink" Target="https://discovery.ucl.ac.uk/id/eprint/10075702/1/Schoon%20and%20Bynner%202019%20YGR%20JLLS.pdf" TargetMode="External"/><Relationship Id="rId2" Type="http://schemas.openxmlformats.org/officeDocument/2006/relationships/styles" Target="styles.xml"/><Relationship Id="rId16" Type="http://schemas.openxmlformats.org/officeDocument/2006/relationships/hyperlink" Target="https://wol.iza.org/articles/why-is-youth-unemployment-so-high-and-different-across-countries/long" TargetMode="External"/><Relationship Id="rId20" Type="http://schemas.openxmlformats.org/officeDocument/2006/relationships/hyperlink" Target="https://educationendowmentfoundation.org.uk/evidence-summaries/evidence-reviews/careers-education/" TargetMode="External"/><Relationship Id="rId1" Type="http://schemas.openxmlformats.org/officeDocument/2006/relationships/numbering" Target="numbering.xml"/><Relationship Id="rId6" Type="http://schemas.openxmlformats.org/officeDocument/2006/relationships/hyperlink" Target="https://oecdedutoday.com/school-work-during-coronavirus-2008-global-financial-crisis/" TargetMode="External"/><Relationship Id="rId11" Type="http://schemas.openxmlformats.org/officeDocument/2006/relationships/hyperlink" Target="https://www.oecd.org/education/dream-jobs-teenagers-career-aspirations-and-the-future-of-work.htm" TargetMode="External"/><Relationship Id="rId24" Type="http://schemas.openxmlformats.org/officeDocument/2006/relationships/theme" Target="theme/theme1.xml"/><Relationship Id="rId5" Type="http://schemas.openxmlformats.org/officeDocument/2006/relationships/hyperlink" Target="https://oecdedutoday.com/author/oecdeducationtoday/" TargetMode="External"/><Relationship Id="rId15" Type="http://schemas.openxmlformats.org/officeDocument/2006/relationships/hyperlink" Target="http://www.oecd.org/publications/seven-questions-about-apprenticeships-9789264306486-en.htm" TargetMode="External"/><Relationship Id="rId23" Type="http://schemas.openxmlformats.org/officeDocument/2006/relationships/fontTable" Target="fontTable.xml"/><Relationship Id="rId10" Type="http://schemas.openxmlformats.org/officeDocument/2006/relationships/hyperlink" Target="https://unesdoc.unesco.org/ark:/48223/pf0000371414" TargetMode="External"/><Relationship Id="rId19" Type="http://schemas.openxmlformats.org/officeDocument/2006/relationships/hyperlink" Target="https://discovery.ucl.ac.uk/id/eprint/10033834/1/Economic%20Conditions%20of%C2%A0Young%20Adults%20Before.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oecd-ilibrary.org/employment/off-to-a-good-start-jobs-for-youth_9789264096127-en" TargetMode="External"/><Relationship Id="rId22" Type="http://schemas.openxmlformats.org/officeDocument/2006/relationships/hyperlink" Target="http://oecd.org/coronaviru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1703</Words>
  <Characters>9811</Characters>
  <Application>Microsoft Office Word</Application>
  <DocSecurity>0</DocSecurity>
  <Lines>155</Lines>
  <Paragraphs>45</Paragraphs>
  <ScaleCrop>false</ScaleCrop>
  <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Schoon, Ingrid</dc:creator>
  <cp:keywords/>
  <dc:description/>
  <cp:lastModifiedBy>Schoon, Ingrid</cp:lastModifiedBy>
  <cp:revision>3</cp:revision>
  <dcterms:created xsi:type="dcterms:W3CDTF">2020-05-20T09:45:00Z</dcterms:created>
  <dcterms:modified xsi:type="dcterms:W3CDTF">2020-05-20T09:51:00Z</dcterms:modified>
</cp:coreProperties>
</file>