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47C9" w:rsidRPr="00206AAE" w:rsidRDefault="00C947C9" w:rsidP="00C947C9">
      <w:pPr>
        <w:spacing w:before="240" w:after="240" w:line="276" w:lineRule="auto"/>
        <w:jc w:val="center"/>
        <w:rPr>
          <w:rFonts w:cstheme="majorHAnsi"/>
          <w:b/>
          <w:sz w:val="24"/>
          <w:szCs w:val="24"/>
        </w:rPr>
      </w:pPr>
      <w:bookmarkStart w:id="0" w:name="_GoBack"/>
      <w:bookmarkEnd w:id="0"/>
      <w:r w:rsidRPr="00206AAE">
        <w:rPr>
          <w:rFonts w:cstheme="majorHAnsi"/>
          <w:b/>
          <w:sz w:val="24"/>
          <w:szCs w:val="24"/>
        </w:rPr>
        <w:t>Annex 2: Financial proposal</w:t>
      </w:r>
    </w:p>
    <w:p w:rsidR="00C947C9" w:rsidRDefault="00C947C9" w:rsidP="00C947C9">
      <w:pPr>
        <w:spacing w:before="240" w:after="240" w:line="276" w:lineRule="auto"/>
        <w:rPr>
          <w:rFonts w:cstheme="majorHAnsi"/>
        </w:rPr>
      </w:pPr>
      <w:r>
        <w:rPr>
          <w:rFonts w:cstheme="majorHAnsi"/>
        </w:rPr>
        <w:t>Please submit a financial proposal along with your detailed CVs and a 2-page motivation letter.</w:t>
      </w:r>
    </w:p>
    <w:p w:rsidR="00C947C9" w:rsidRDefault="00C947C9" w:rsidP="00C947C9">
      <w:pPr>
        <w:spacing w:before="240" w:after="240" w:line="276" w:lineRule="auto"/>
        <w:rPr>
          <w:rFonts w:cstheme="majorHAnsi"/>
        </w:rPr>
      </w:pPr>
      <w:r>
        <w:rPr>
          <w:rFonts w:cstheme="majorHAnsi"/>
        </w:rPr>
        <w:t xml:space="preserve">Please note that the financial proposal needs to be expressed in US dollars. </w:t>
      </w:r>
    </w:p>
    <w:tbl>
      <w:tblPr>
        <w:tblStyle w:val="TableGrid"/>
        <w:tblW w:w="0" w:type="auto"/>
        <w:tblLook w:val="04A0" w:firstRow="1" w:lastRow="0" w:firstColumn="1" w:lastColumn="0" w:noHBand="0" w:noVBand="1"/>
      </w:tblPr>
      <w:tblGrid>
        <w:gridCol w:w="6587"/>
        <w:gridCol w:w="2475"/>
      </w:tblGrid>
      <w:tr w:rsidR="00C947C9" w:rsidTr="0026362F">
        <w:tc>
          <w:tcPr>
            <w:tcW w:w="6799" w:type="dxa"/>
            <w:shd w:val="clear" w:color="auto" w:fill="DEEAF6" w:themeFill="accent1" w:themeFillTint="33"/>
          </w:tcPr>
          <w:p w:rsidR="00C947C9" w:rsidRPr="00206AAE" w:rsidRDefault="00C947C9" w:rsidP="0026362F">
            <w:pPr>
              <w:spacing w:before="120" w:after="120"/>
              <w:jc w:val="center"/>
              <w:rPr>
                <w:rFonts w:cstheme="majorHAnsi"/>
                <w:b/>
              </w:rPr>
            </w:pPr>
            <w:r w:rsidRPr="00206AAE">
              <w:rPr>
                <w:rFonts w:cstheme="majorHAnsi"/>
                <w:b/>
              </w:rPr>
              <w:t>Item</w:t>
            </w:r>
          </w:p>
        </w:tc>
        <w:tc>
          <w:tcPr>
            <w:tcW w:w="2551" w:type="dxa"/>
            <w:shd w:val="clear" w:color="auto" w:fill="DEEAF6" w:themeFill="accent1" w:themeFillTint="33"/>
          </w:tcPr>
          <w:p w:rsidR="00C947C9" w:rsidRPr="00206AAE" w:rsidRDefault="00C947C9" w:rsidP="0026362F">
            <w:pPr>
              <w:spacing w:before="120" w:after="120"/>
              <w:jc w:val="center"/>
              <w:rPr>
                <w:rFonts w:cstheme="majorHAnsi"/>
                <w:b/>
              </w:rPr>
            </w:pPr>
            <w:r w:rsidRPr="00206AAE">
              <w:rPr>
                <w:rFonts w:cstheme="majorHAnsi"/>
                <w:b/>
              </w:rPr>
              <w:t>Cost</w:t>
            </w:r>
          </w:p>
        </w:tc>
      </w:tr>
      <w:tr w:rsidR="00C947C9" w:rsidTr="0026362F">
        <w:tc>
          <w:tcPr>
            <w:tcW w:w="9350" w:type="dxa"/>
            <w:gridSpan w:val="2"/>
            <w:shd w:val="clear" w:color="auto" w:fill="auto"/>
          </w:tcPr>
          <w:p w:rsidR="00C947C9" w:rsidRPr="00206AAE" w:rsidRDefault="00C947C9" w:rsidP="0026362F">
            <w:pPr>
              <w:spacing w:before="120" w:after="120"/>
              <w:rPr>
                <w:rFonts w:cstheme="majorHAnsi"/>
                <w:b/>
              </w:rPr>
            </w:pPr>
            <w:r>
              <w:rPr>
                <w:rFonts w:cstheme="majorHAnsi"/>
                <w:b/>
              </w:rPr>
              <w:t>Indonesia</w:t>
            </w:r>
          </w:p>
        </w:tc>
      </w:tr>
      <w:tr w:rsidR="00C947C9" w:rsidTr="0026362F">
        <w:tc>
          <w:tcPr>
            <w:tcW w:w="6799" w:type="dxa"/>
          </w:tcPr>
          <w:p w:rsidR="00C947C9" w:rsidRDefault="00C947C9" w:rsidP="0026362F">
            <w:pPr>
              <w:spacing w:before="120" w:after="120"/>
              <w:rPr>
                <w:rFonts w:cstheme="majorHAnsi"/>
              </w:rPr>
            </w:pPr>
            <w:r>
              <w:rPr>
                <w:rFonts w:cstheme="majorHAnsi"/>
              </w:rPr>
              <w:t>Adapt UNESCO training module on media diversity to the Indonesian context</w:t>
            </w:r>
          </w:p>
        </w:tc>
        <w:tc>
          <w:tcPr>
            <w:tcW w:w="2551" w:type="dxa"/>
          </w:tcPr>
          <w:p w:rsidR="00C947C9" w:rsidRDefault="00C947C9" w:rsidP="0026362F">
            <w:pPr>
              <w:spacing w:before="120" w:after="120"/>
              <w:jc w:val="right"/>
              <w:rPr>
                <w:rFonts w:cstheme="majorHAnsi"/>
              </w:rPr>
            </w:pPr>
            <w:r>
              <w:rPr>
                <w:rFonts w:cstheme="majorHAnsi"/>
              </w:rPr>
              <w:t>USD</w:t>
            </w:r>
          </w:p>
        </w:tc>
      </w:tr>
      <w:tr w:rsidR="00C947C9" w:rsidTr="0026362F">
        <w:tc>
          <w:tcPr>
            <w:tcW w:w="6799" w:type="dxa"/>
          </w:tcPr>
          <w:p w:rsidR="00C947C9" w:rsidRDefault="00C947C9" w:rsidP="0026362F">
            <w:pPr>
              <w:spacing w:before="120" w:after="120"/>
              <w:rPr>
                <w:rFonts w:cstheme="majorHAnsi"/>
              </w:rPr>
            </w:pPr>
            <w:r>
              <w:rPr>
                <w:rFonts w:cstheme="majorHAnsi"/>
              </w:rPr>
              <w:t xml:space="preserve">Facilitate a training workshop on media diversity in Indonesia </w:t>
            </w:r>
          </w:p>
          <w:p w:rsidR="00C947C9" w:rsidRDefault="00C947C9" w:rsidP="0026362F">
            <w:pPr>
              <w:spacing w:before="120" w:after="120"/>
              <w:rPr>
                <w:rFonts w:cstheme="majorHAnsi"/>
              </w:rPr>
            </w:pPr>
            <w:r>
              <w:rPr>
                <w:rFonts w:cstheme="majorHAnsi"/>
              </w:rPr>
              <w:t>(September 2019)</w:t>
            </w:r>
          </w:p>
        </w:tc>
        <w:tc>
          <w:tcPr>
            <w:tcW w:w="2551" w:type="dxa"/>
          </w:tcPr>
          <w:p w:rsidR="00C947C9" w:rsidRDefault="00C947C9" w:rsidP="0026362F">
            <w:pPr>
              <w:spacing w:before="120" w:after="120"/>
              <w:jc w:val="right"/>
              <w:rPr>
                <w:rFonts w:cstheme="majorHAnsi"/>
              </w:rPr>
            </w:pPr>
            <w:r>
              <w:rPr>
                <w:rFonts w:cstheme="majorHAnsi"/>
              </w:rPr>
              <w:t>USD</w:t>
            </w:r>
          </w:p>
        </w:tc>
      </w:tr>
      <w:tr w:rsidR="00C947C9" w:rsidTr="0026362F">
        <w:tc>
          <w:tcPr>
            <w:tcW w:w="6799" w:type="dxa"/>
          </w:tcPr>
          <w:p w:rsidR="00C947C9" w:rsidRDefault="00C947C9" w:rsidP="0026362F">
            <w:pPr>
              <w:spacing w:before="120" w:after="120"/>
              <w:rPr>
                <w:rFonts w:cstheme="majorHAnsi"/>
              </w:rPr>
            </w:pPr>
            <w:r>
              <w:rPr>
                <w:rFonts w:cstheme="majorHAnsi"/>
              </w:rPr>
              <w:t xml:space="preserve">Facilitate a follow-up workshop on media diversity in Indonesia </w:t>
            </w:r>
          </w:p>
          <w:p w:rsidR="00C947C9" w:rsidRDefault="00C947C9" w:rsidP="0026362F">
            <w:pPr>
              <w:spacing w:before="120" w:after="120"/>
              <w:rPr>
                <w:rFonts w:cstheme="majorHAnsi"/>
              </w:rPr>
            </w:pPr>
            <w:r>
              <w:rPr>
                <w:rFonts w:cstheme="majorHAnsi"/>
              </w:rPr>
              <w:t>(later in 2020)</w:t>
            </w:r>
          </w:p>
        </w:tc>
        <w:tc>
          <w:tcPr>
            <w:tcW w:w="2551" w:type="dxa"/>
          </w:tcPr>
          <w:p w:rsidR="00C947C9" w:rsidRDefault="00C947C9" w:rsidP="0026362F">
            <w:pPr>
              <w:spacing w:before="120" w:after="120"/>
              <w:jc w:val="right"/>
              <w:rPr>
                <w:rFonts w:cstheme="majorHAnsi"/>
              </w:rPr>
            </w:pPr>
            <w:r>
              <w:rPr>
                <w:rFonts w:cstheme="majorHAnsi"/>
              </w:rPr>
              <w:t>USD</w:t>
            </w:r>
          </w:p>
        </w:tc>
      </w:tr>
      <w:tr w:rsidR="00C947C9" w:rsidTr="0026362F">
        <w:tc>
          <w:tcPr>
            <w:tcW w:w="6799" w:type="dxa"/>
          </w:tcPr>
          <w:p w:rsidR="00C947C9" w:rsidRDefault="00C947C9" w:rsidP="0026362F">
            <w:pPr>
              <w:spacing w:before="120" w:after="120"/>
              <w:rPr>
                <w:rFonts w:cstheme="majorHAnsi"/>
              </w:rPr>
            </w:pPr>
            <w:r>
              <w:rPr>
                <w:rFonts w:cstheme="majorHAnsi"/>
              </w:rPr>
              <w:t>Provide distant coaching to the Indonesian partner working on media diversity</w:t>
            </w:r>
          </w:p>
        </w:tc>
        <w:tc>
          <w:tcPr>
            <w:tcW w:w="2551" w:type="dxa"/>
          </w:tcPr>
          <w:p w:rsidR="00C947C9" w:rsidRDefault="00C947C9" w:rsidP="0026362F">
            <w:pPr>
              <w:spacing w:before="120" w:after="120"/>
              <w:jc w:val="right"/>
              <w:rPr>
                <w:rFonts w:cstheme="majorHAnsi"/>
              </w:rPr>
            </w:pPr>
            <w:r>
              <w:rPr>
                <w:rFonts w:cstheme="majorHAnsi"/>
              </w:rPr>
              <w:t>USD</w:t>
            </w:r>
          </w:p>
        </w:tc>
      </w:tr>
      <w:tr w:rsidR="00C947C9" w:rsidTr="0026362F">
        <w:tc>
          <w:tcPr>
            <w:tcW w:w="9350" w:type="dxa"/>
            <w:gridSpan w:val="2"/>
          </w:tcPr>
          <w:p w:rsidR="00C947C9" w:rsidRPr="00437628" w:rsidRDefault="00C947C9" w:rsidP="0026362F">
            <w:pPr>
              <w:spacing w:before="120" w:after="120"/>
              <w:rPr>
                <w:rFonts w:cstheme="majorHAnsi"/>
                <w:b/>
              </w:rPr>
            </w:pPr>
            <w:r w:rsidRPr="00437628">
              <w:rPr>
                <w:rFonts w:cstheme="majorHAnsi"/>
                <w:b/>
              </w:rPr>
              <w:t>Mongolia</w:t>
            </w:r>
          </w:p>
        </w:tc>
      </w:tr>
      <w:tr w:rsidR="00C947C9" w:rsidTr="0026362F">
        <w:tc>
          <w:tcPr>
            <w:tcW w:w="6799" w:type="dxa"/>
          </w:tcPr>
          <w:p w:rsidR="00C947C9" w:rsidRDefault="00C947C9" w:rsidP="0026362F">
            <w:pPr>
              <w:spacing w:before="120" w:after="120"/>
              <w:rPr>
                <w:rFonts w:cstheme="majorHAnsi"/>
              </w:rPr>
            </w:pPr>
            <w:r>
              <w:rPr>
                <w:rFonts w:cstheme="majorHAnsi"/>
              </w:rPr>
              <w:t xml:space="preserve">Adapt UNESCO training modules on participatory policy monitoring and on media diversity to the Mongolian context </w:t>
            </w:r>
          </w:p>
        </w:tc>
        <w:tc>
          <w:tcPr>
            <w:tcW w:w="2551" w:type="dxa"/>
          </w:tcPr>
          <w:p w:rsidR="00C947C9" w:rsidRDefault="00C947C9" w:rsidP="0026362F">
            <w:pPr>
              <w:spacing w:before="120" w:after="120"/>
              <w:jc w:val="right"/>
              <w:rPr>
                <w:rFonts w:cstheme="majorHAnsi"/>
              </w:rPr>
            </w:pPr>
            <w:r>
              <w:rPr>
                <w:rFonts w:cstheme="majorHAnsi"/>
              </w:rPr>
              <w:t>USD</w:t>
            </w:r>
          </w:p>
        </w:tc>
      </w:tr>
      <w:tr w:rsidR="00C947C9" w:rsidTr="0026362F">
        <w:tc>
          <w:tcPr>
            <w:tcW w:w="6799" w:type="dxa"/>
          </w:tcPr>
          <w:p w:rsidR="00C947C9" w:rsidRDefault="00C947C9" w:rsidP="0026362F">
            <w:pPr>
              <w:spacing w:before="120" w:after="120"/>
              <w:rPr>
                <w:rFonts w:cstheme="majorHAnsi"/>
              </w:rPr>
            </w:pPr>
            <w:r>
              <w:rPr>
                <w:rFonts w:cstheme="majorHAnsi"/>
              </w:rPr>
              <w:t>Facilitate a training workshop on participatory policy monitoring and media diversity in Indonesia (September 2019)</w:t>
            </w:r>
          </w:p>
        </w:tc>
        <w:tc>
          <w:tcPr>
            <w:tcW w:w="2551" w:type="dxa"/>
          </w:tcPr>
          <w:p w:rsidR="00C947C9" w:rsidRDefault="00C947C9" w:rsidP="0026362F">
            <w:pPr>
              <w:spacing w:before="120" w:after="120"/>
              <w:jc w:val="right"/>
              <w:rPr>
                <w:rFonts w:cstheme="majorHAnsi"/>
              </w:rPr>
            </w:pPr>
            <w:r>
              <w:rPr>
                <w:rFonts w:cstheme="majorHAnsi"/>
              </w:rPr>
              <w:t>USD</w:t>
            </w:r>
          </w:p>
        </w:tc>
      </w:tr>
      <w:tr w:rsidR="00C947C9" w:rsidTr="0026362F">
        <w:tc>
          <w:tcPr>
            <w:tcW w:w="6799" w:type="dxa"/>
          </w:tcPr>
          <w:p w:rsidR="00C947C9" w:rsidRDefault="00C947C9" w:rsidP="0026362F">
            <w:pPr>
              <w:spacing w:before="120" w:after="120"/>
              <w:rPr>
                <w:rFonts w:cstheme="majorHAnsi"/>
              </w:rPr>
            </w:pPr>
            <w:r>
              <w:rPr>
                <w:rFonts w:cstheme="majorHAnsi"/>
              </w:rPr>
              <w:t>Provides distant coaching, editorial suggestions on Mongolia’s quadrennial periodic report</w:t>
            </w:r>
          </w:p>
        </w:tc>
        <w:tc>
          <w:tcPr>
            <w:tcW w:w="2551" w:type="dxa"/>
          </w:tcPr>
          <w:p w:rsidR="00C947C9" w:rsidRDefault="00C947C9" w:rsidP="0026362F">
            <w:pPr>
              <w:spacing w:before="120" w:after="120"/>
              <w:jc w:val="right"/>
              <w:rPr>
                <w:rFonts w:cstheme="majorHAnsi"/>
              </w:rPr>
            </w:pPr>
            <w:r>
              <w:rPr>
                <w:rFonts w:cstheme="majorHAnsi"/>
              </w:rPr>
              <w:t>USD</w:t>
            </w:r>
          </w:p>
        </w:tc>
      </w:tr>
      <w:tr w:rsidR="00C947C9" w:rsidTr="0026362F">
        <w:tc>
          <w:tcPr>
            <w:tcW w:w="9350" w:type="dxa"/>
            <w:gridSpan w:val="2"/>
          </w:tcPr>
          <w:p w:rsidR="00C947C9" w:rsidRPr="00437628" w:rsidRDefault="00C947C9" w:rsidP="0026362F">
            <w:pPr>
              <w:spacing w:before="120" w:after="120"/>
              <w:rPr>
                <w:rFonts w:cstheme="majorHAnsi"/>
                <w:b/>
              </w:rPr>
            </w:pPr>
            <w:r>
              <w:rPr>
                <w:rFonts w:cstheme="majorHAnsi"/>
                <w:b/>
              </w:rPr>
              <w:t>Travel</w:t>
            </w:r>
          </w:p>
        </w:tc>
      </w:tr>
      <w:tr w:rsidR="00C947C9" w:rsidTr="0026362F">
        <w:tc>
          <w:tcPr>
            <w:tcW w:w="6799" w:type="dxa"/>
          </w:tcPr>
          <w:p w:rsidR="00C947C9" w:rsidRDefault="00C947C9" w:rsidP="0026362F">
            <w:pPr>
              <w:spacing w:before="120" w:after="120"/>
              <w:rPr>
                <w:rFonts w:cstheme="majorHAnsi"/>
              </w:rPr>
            </w:pPr>
            <w:r>
              <w:rPr>
                <w:rFonts w:cstheme="majorHAnsi"/>
              </w:rPr>
              <w:t>Travel to Indonesia (3 days) in February 2020</w:t>
            </w:r>
          </w:p>
        </w:tc>
        <w:tc>
          <w:tcPr>
            <w:tcW w:w="2551" w:type="dxa"/>
          </w:tcPr>
          <w:p w:rsidR="00C947C9" w:rsidRDefault="00C947C9" w:rsidP="0026362F">
            <w:pPr>
              <w:spacing w:before="120" w:after="120"/>
              <w:jc w:val="right"/>
              <w:rPr>
                <w:rFonts w:cstheme="majorHAnsi"/>
              </w:rPr>
            </w:pPr>
            <w:r>
              <w:rPr>
                <w:rFonts w:cstheme="majorHAnsi"/>
              </w:rPr>
              <w:t>USD</w:t>
            </w:r>
          </w:p>
        </w:tc>
      </w:tr>
      <w:tr w:rsidR="00C947C9" w:rsidTr="0026362F">
        <w:tc>
          <w:tcPr>
            <w:tcW w:w="6799" w:type="dxa"/>
          </w:tcPr>
          <w:p w:rsidR="00C947C9" w:rsidRDefault="00C947C9" w:rsidP="0026362F">
            <w:pPr>
              <w:spacing w:before="120" w:after="120"/>
              <w:rPr>
                <w:rFonts w:cstheme="majorHAnsi"/>
              </w:rPr>
            </w:pPr>
            <w:r>
              <w:rPr>
                <w:rFonts w:cstheme="majorHAnsi"/>
              </w:rPr>
              <w:t xml:space="preserve">Travel to Indonesia (5 days) and then to Mongolia (7 days) in September 2019 (These trips to Indonesia and Mongolia should be organized as one single travel from home to Jakarta, from Jakarta to </w:t>
            </w:r>
            <w:r w:rsidRPr="003B2C5C">
              <w:rPr>
                <w:rFonts w:cstheme="majorHAnsi"/>
              </w:rPr>
              <w:t>Ulaanbaatar</w:t>
            </w:r>
            <w:r>
              <w:rPr>
                <w:rFonts w:cstheme="majorHAnsi"/>
              </w:rPr>
              <w:t xml:space="preserve">, from </w:t>
            </w:r>
            <w:r w:rsidRPr="003B2C5C">
              <w:rPr>
                <w:rFonts w:cstheme="majorHAnsi"/>
              </w:rPr>
              <w:t>Ulaanbaatar</w:t>
            </w:r>
            <w:r>
              <w:rPr>
                <w:rFonts w:cstheme="majorHAnsi"/>
              </w:rPr>
              <w:t xml:space="preserve"> to home.)</w:t>
            </w:r>
          </w:p>
        </w:tc>
        <w:tc>
          <w:tcPr>
            <w:tcW w:w="2551" w:type="dxa"/>
          </w:tcPr>
          <w:p w:rsidR="00C947C9" w:rsidRDefault="00C947C9" w:rsidP="0026362F">
            <w:pPr>
              <w:spacing w:before="120" w:after="120"/>
              <w:jc w:val="right"/>
              <w:rPr>
                <w:rFonts w:cstheme="majorHAnsi"/>
              </w:rPr>
            </w:pPr>
            <w:r>
              <w:rPr>
                <w:rFonts w:cstheme="majorHAnsi"/>
              </w:rPr>
              <w:t>USD</w:t>
            </w:r>
          </w:p>
        </w:tc>
      </w:tr>
      <w:tr w:rsidR="00C947C9" w:rsidTr="0026362F">
        <w:tc>
          <w:tcPr>
            <w:tcW w:w="6799" w:type="dxa"/>
          </w:tcPr>
          <w:p w:rsidR="00C947C9" w:rsidRDefault="00C947C9" w:rsidP="0026362F">
            <w:pPr>
              <w:spacing w:before="120" w:after="120"/>
              <w:jc w:val="right"/>
              <w:rPr>
                <w:rFonts w:cstheme="majorHAnsi"/>
              </w:rPr>
            </w:pPr>
            <w:r w:rsidRPr="00BC045E">
              <w:rPr>
                <w:rFonts w:cstheme="majorHAnsi"/>
                <w:b/>
              </w:rPr>
              <w:t>TOTAL</w:t>
            </w:r>
          </w:p>
        </w:tc>
        <w:tc>
          <w:tcPr>
            <w:tcW w:w="2551" w:type="dxa"/>
          </w:tcPr>
          <w:p w:rsidR="00C947C9" w:rsidRDefault="00C947C9" w:rsidP="0026362F">
            <w:pPr>
              <w:spacing w:before="120" w:after="120"/>
              <w:jc w:val="right"/>
              <w:rPr>
                <w:rFonts w:cstheme="majorHAnsi"/>
              </w:rPr>
            </w:pPr>
            <w:r>
              <w:rPr>
                <w:rFonts w:cstheme="majorHAnsi"/>
              </w:rPr>
              <w:t>USD</w:t>
            </w:r>
          </w:p>
        </w:tc>
      </w:tr>
    </w:tbl>
    <w:p w:rsidR="00C947C9" w:rsidRPr="00206AAE" w:rsidRDefault="00C947C9" w:rsidP="00C947C9">
      <w:pPr>
        <w:spacing w:before="240" w:after="240" w:line="276" w:lineRule="auto"/>
        <w:rPr>
          <w:rFonts w:cstheme="majorHAnsi"/>
        </w:rPr>
      </w:pPr>
    </w:p>
    <w:p w:rsidR="00FD1DF5" w:rsidRDefault="00FD1DF5"/>
    <w:sectPr w:rsidR="00FD1DF5">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1905" w:rsidRDefault="00F91905" w:rsidP="00C947C9">
      <w:pPr>
        <w:spacing w:after="0" w:line="240" w:lineRule="auto"/>
      </w:pPr>
      <w:r>
        <w:separator/>
      </w:r>
    </w:p>
  </w:endnote>
  <w:endnote w:type="continuationSeparator" w:id="0">
    <w:p w:rsidR="00F91905" w:rsidRDefault="00F91905" w:rsidP="00C947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Yu Mincho">
    <w:altName w:val="游明朝"/>
    <w:charset w:val="80"/>
    <w:family w:val="roman"/>
    <w:pitch w:val="variable"/>
    <w:sig w:usb0="00000000"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Yu Gothic Light">
    <w:altName w:val="游ゴシック Light"/>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1905" w:rsidRDefault="00F91905" w:rsidP="00C947C9">
      <w:pPr>
        <w:spacing w:after="0" w:line="240" w:lineRule="auto"/>
      </w:pPr>
      <w:r>
        <w:separator/>
      </w:r>
    </w:p>
  </w:footnote>
  <w:footnote w:type="continuationSeparator" w:id="0">
    <w:p w:rsidR="00F91905" w:rsidRDefault="00F91905" w:rsidP="00C947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7C9" w:rsidRDefault="00C947C9">
    <w:pPr>
      <w:pStyle w:val="Header"/>
    </w:pPr>
    <w:r>
      <w:rPr>
        <w:noProof/>
        <w:lang w:val="fr-FR"/>
      </w:rPr>
      <w:drawing>
        <wp:anchor distT="0" distB="0" distL="114300" distR="114300" simplePos="0" relativeHeight="251659264" behindDoc="0" locked="0" layoutInCell="1" allowOverlap="1" wp14:anchorId="617D29B3" wp14:editId="19B5B28A">
          <wp:simplePos x="0" y="0"/>
          <wp:positionH relativeFrom="column">
            <wp:posOffset>-476250</wp:posOffset>
          </wp:positionH>
          <wp:positionV relativeFrom="paragraph">
            <wp:posOffset>-334010</wp:posOffset>
          </wp:positionV>
          <wp:extent cx="1752600" cy="741680"/>
          <wp:effectExtent l="0" t="0" r="0" b="1270"/>
          <wp:wrapSquare wrapText="bothSides"/>
          <wp:docPr id="81" name="Picture 81" descr="U:\CRE\03-DCE\_DCE Convention\LOGO Convention\All_Emblem_Options\Emblem_EN\png\Emblem_EN_rgb3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CRE\03-DCE\_DCE Convention\LOGO Convention\All_Emblem_Options\Emblem_EN\png\Emblem_EN_rgb300.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52600" cy="7416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61312" behindDoc="0" locked="0" layoutInCell="1" allowOverlap="1" wp14:anchorId="365AFE22" wp14:editId="5BD42070">
          <wp:simplePos x="0" y="0"/>
          <wp:positionH relativeFrom="margin">
            <wp:posOffset>4648200</wp:posOffset>
          </wp:positionH>
          <wp:positionV relativeFrom="paragraph">
            <wp:posOffset>-95885</wp:posOffset>
          </wp:positionV>
          <wp:extent cx="1374775" cy="402590"/>
          <wp:effectExtent l="0" t="0" r="0" b="0"/>
          <wp:wrapSquare wrapText="bothSides"/>
          <wp:docPr id="80" name="Picture 80" descr="O:\CLT\ProgrammeExecution\2005Convention\2005-KMS\3. Resources\Other logos\SIDA\Sweden_logotype_Engl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CLT\ProgrammeExecution\2005Convention\2005-KMS\3. Resources\Other logos\SIDA\Sweden_logotype_England.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4775" cy="4025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7C9"/>
    <w:rsid w:val="004762A2"/>
    <w:rsid w:val="00C947C9"/>
    <w:rsid w:val="00F91905"/>
    <w:rsid w:val="00FD1DF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8DAD32-9C3F-4CAB-A213-C3E750D90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47C9"/>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947C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947C9"/>
    <w:pPr>
      <w:tabs>
        <w:tab w:val="center" w:pos="4536"/>
        <w:tab w:val="right" w:pos="9072"/>
      </w:tabs>
      <w:spacing w:after="0" w:line="240" w:lineRule="auto"/>
    </w:pPr>
  </w:style>
  <w:style w:type="character" w:customStyle="1" w:styleId="HeaderChar">
    <w:name w:val="Header Char"/>
    <w:basedOn w:val="DefaultParagraphFont"/>
    <w:link w:val="Header"/>
    <w:uiPriority w:val="99"/>
    <w:rsid w:val="00C947C9"/>
    <w:rPr>
      <w:lang w:val="en-US"/>
    </w:rPr>
  </w:style>
  <w:style w:type="paragraph" w:styleId="Footer">
    <w:name w:val="footer"/>
    <w:basedOn w:val="Normal"/>
    <w:link w:val="FooterChar"/>
    <w:uiPriority w:val="99"/>
    <w:unhideWhenUsed/>
    <w:rsid w:val="00C947C9"/>
    <w:pPr>
      <w:tabs>
        <w:tab w:val="center" w:pos="4536"/>
        <w:tab w:val="right" w:pos="9072"/>
      </w:tabs>
      <w:spacing w:after="0" w:line="240" w:lineRule="auto"/>
    </w:pPr>
  </w:style>
  <w:style w:type="character" w:customStyle="1" w:styleId="FooterChar">
    <w:name w:val="Footer Char"/>
    <w:basedOn w:val="DefaultParagraphFont"/>
    <w:link w:val="Footer"/>
    <w:uiPriority w:val="99"/>
    <w:rsid w:val="00C947C9"/>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187</Words>
  <Characters>1029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UNESCO</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Yoshida, Reiko</dc:creator>
  <cp:keywords/>
  <dc:description/>
  <cp:lastModifiedBy>Chagankerian, Anais</cp:lastModifiedBy>
  <cp:revision>2</cp:revision>
  <dcterms:created xsi:type="dcterms:W3CDTF">2019-04-03T12:13:00Z</dcterms:created>
  <dcterms:modified xsi:type="dcterms:W3CDTF">2019-04-03T12:13:00Z</dcterms:modified>
</cp:coreProperties>
</file>